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A4764D">
        <w:rPr>
          <w:rFonts w:ascii="Tahoma" w:eastAsia="Times New Roman" w:hAnsi="Tahoma" w:cs="Tahoma"/>
          <w:b/>
          <w:bCs/>
          <w:caps/>
          <w:color w:val="000000" w:themeColor="text1"/>
          <w:sz w:val="20"/>
          <w:szCs w:val="20"/>
          <w:lang w:eastAsia="ru-RU"/>
        </w:rPr>
        <w:t>СЕВЕРНОГО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EF26F2" w:rsidRPr="009E16F3" w:rsidRDefault="00EF26F2" w:rsidP="00EF26F2">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«Объект»</w:t>
      </w:r>
      <w:r w:rsidRPr="009E16F3">
        <w:rPr>
          <w:rFonts w:ascii="Tahoma" w:hAnsi="Tahoma" w:cs="Tahoma"/>
          <w:color w:val="00B050"/>
          <w:sz w:val="20"/>
          <w:szCs w:val="20"/>
        </w:rPr>
        <w:t xml:space="preserve"> - квартира, комната, нежилое помещение, иное место в </w:t>
      </w:r>
      <w:r w:rsidRPr="009E16F3">
        <w:rPr>
          <w:rFonts w:ascii="Tahoma" w:eastAsiaTheme="minorEastAsia" w:hAnsi="Tahoma" w:cs="Tahoma"/>
          <w:color w:val="00B050"/>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EF26F2" w:rsidRPr="009E16F3" w:rsidRDefault="00EF26F2" w:rsidP="00EF26F2">
      <w:pPr>
        <w:pStyle w:val="20"/>
        <w:numPr>
          <w:ilvl w:val="0"/>
          <w:numId w:val="22"/>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«Работы»</w:t>
      </w:r>
      <w:r w:rsidRPr="009E16F3">
        <w:rPr>
          <w:rFonts w:ascii="Tahoma" w:hAnsi="Tahoma" w:cs="Tahoma"/>
          <w:color w:val="00B050"/>
          <w:sz w:val="20"/>
          <w:szCs w:val="20"/>
        </w:rPr>
        <w:t xml:space="preserve"> - </w:t>
      </w:r>
      <w:r w:rsidRPr="009E16F3">
        <w:rPr>
          <w:rFonts w:ascii="Tahoma" w:hAnsi="Tahoma"/>
          <w:color w:val="00B050"/>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EF26F2" w:rsidRPr="009E16F3" w:rsidRDefault="00EF26F2" w:rsidP="00EF26F2">
      <w:pPr>
        <w:pStyle w:val="20"/>
        <w:numPr>
          <w:ilvl w:val="0"/>
          <w:numId w:val="22"/>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 xml:space="preserve"> «Потребитель» </w:t>
      </w:r>
      <w:r w:rsidRPr="009E16F3">
        <w:rPr>
          <w:rFonts w:ascii="Tahoma" w:hAnsi="Tahoma" w:cs="Tahoma"/>
          <w:color w:val="00B050"/>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p>
    <w:p w:rsidR="00EF26F2" w:rsidRPr="009E16F3" w:rsidRDefault="00EF26F2" w:rsidP="00EF26F2">
      <w:pPr>
        <w:pStyle w:val="20"/>
        <w:numPr>
          <w:ilvl w:val="0"/>
          <w:numId w:val="22"/>
        </w:numPr>
        <w:tabs>
          <w:tab w:val="left" w:pos="426"/>
        </w:tabs>
        <w:spacing w:after="0" w:line="240" w:lineRule="auto"/>
        <w:ind w:left="0" w:firstLine="0"/>
        <w:jc w:val="both"/>
        <w:rPr>
          <w:rFonts w:ascii="Tahoma" w:hAnsi="Tahoma" w:cs="Tahoma"/>
          <w:b/>
          <w:color w:val="00B050"/>
          <w:sz w:val="20"/>
          <w:szCs w:val="20"/>
        </w:rPr>
      </w:pPr>
      <w:r w:rsidRPr="009E16F3">
        <w:rPr>
          <w:rFonts w:ascii="Tahoma" w:hAnsi="Tahoma" w:cs="Tahoma"/>
          <w:b/>
          <w:color w:val="00B050"/>
          <w:sz w:val="20"/>
          <w:szCs w:val="20"/>
        </w:rPr>
        <w:t xml:space="preserve"> «Северное отделение Свердловского филиала АО «ЭнергосбыТ Плюс» </w:t>
      </w:r>
      <w:r w:rsidRPr="009E16F3">
        <w:rPr>
          <w:rFonts w:ascii="Tahoma" w:hAnsi="Tahoma" w:cs="Tahoma"/>
          <w:color w:val="00B050"/>
          <w:sz w:val="20"/>
          <w:szCs w:val="20"/>
        </w:rPr>
        <w:t>- перечень муниципальных образований в Свердловской области, указанный в Приложении №7 к Договору.</w:t>
      </w:r>
    </w:p>
    <w:p w:rsidR="00B97FA1" w:rsidRDefault="00EF26F2" w:rsidP="00EF26F2">
      <w:pPr>
        <w:pStyle w:val="20"/>
        <w:numPr>
          <w:ilvl w:val="0"/>
          <w:numId w:val="22"/>
        </w:numPr>
        <w:tabs>
          <w:tab w:val="left" w:pos="426"/>
        </w:tabs>
        <w:spacing w:after="0" w:line="240" w:lineRule="auto"/>
        <w:ind w:left="0" w:firstLine="0"/>
        <w:jc w:val="both"/>
        <w:rPr>
          <w:rFonts w:ascii="Tahoma" w:hAnsi="Tahoma" w:cs="Tahoma"/>
          <w:b/>
          <w:color w:val="00B050"/>
          <w:sz w:val="20"/>
          <w:szCs w:val="20"/>
        </w:rPr>
      </w:pPr>
      <w:r w:rsidRPr="009E16F3">
        <w:rPr>
          <w:rFonts w:ascii="Tahoma" w:hAnsi="Tahoma" w:cs="Tahoma"/>
          <w:b/>
          <w:color w:val="00B050"/>
          <w:sz w:val="20"/>
          <w:szCs w:val="20"/>
        </w:rPr>
        <w:t>«Заявка</w:t>
      </w:r>
      <w:r w:rsidRPr="009E16F3">
        <w:rPr>
          <w:rFonts w:ascii="Tahoma" w:hAnsi="Tahoma" w:cs="Tahoma"/>
          <w:color w:val="00B050"/>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p>
    <w:p w:rsidR="00EF26F2" w:rsidRPr="00EF26F2" w:rsidRDefault="00EF26F2" w:rsidP="00EF26F2">
      <w:pPr>
        <w:pStyle w:val="20"/>
        <w:numPr>
          <w:ilvl w:val="0"/>
          <w:numId w:val="22"/>
        </w:numPr>
        <w:tabs>
          <w:tab w:val="left" w:pos="426"/>
        </w:tabs>
        <w:spacing w:after="0" w:line="240" w:lineRule="auto"/>
        <w:ind w:left="0" w:firstLine="0"/>
        <w:jc w:val="both"/>
        <w:rPr>
          <w:rFonts w:ascii="Tahoma" w:hAnsi="Tahoma" w:cs="Tahoma"/>
          <w:b/>
          <w:color w:val="00B050"/>
          <w:sz w:val="20"/>
          <w:szCs w:val="20"/>
        </w:rPr>
      </w:pP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8E4690" w:rsidRPr="008E4690" w:rsidRDefault="008E4690" w:rsidP="008E4690">
      <w:pPr>
        <w:pStyle w:val="a6"/>
        <w:numPr>
          <w:ilvl w:val="1"/>
          <w:numId w:val="34"/>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FE0C35">
      <w:pPr>
        <w:pStyle w:val="2"/>
        <w:numPr>
          <w:ilvl w:val="0"/>
          <w:numId w:val="34"/>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BF78C9">
      <w:pPr>
        <w:pStyle w:val="a6"/>
        <w:numPr>
          <w:ilvl w:val="1"/>
          <w:numId w:val="34"/>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E03AB8" w:rsidRPr="00E03AB8">
        <w:rPr>
          <w:rFonts w:ascii="Tahoma" w:eastAsiaTheme="minorHAnsi" w:hAnsi="Tahoma" w:cs="Tahoma"/>
          <w:sz w:val="20"/>
          <w:szCs w:val="20"/>
          <w:lang w:eastAsia="en-US"/>
        </w:rPr>
        <w:t xml:space="preserve">62 302 916,40 </w:t>
      </w:r>
      <w:r w:rsidRPr="00E9629F">
        <w:rPr>
          <w:rFonts w:ascii="Tahoma" w:eastAsiaTheme="minorHAnsi" w:hAnsi="Tahoma" w:cs="Tahoma"/>
          <w:sz w:val="20"/>
          <w:szCs w:val="20"/>
          <w:lang w:eastAsia="en-US"/>
        </w:rPr>
        <w:t>(</w:t>
      </w:r>
      <w:r w:rsidR="00E03AB8">
        <w:rPr>
          <w:rFonts w:ascii="Tahoma" w:eastAsiaTheme="minorHAnsi" w:hAnsi="Tahoma" w:cs="Tahoma"/>
          <w:sz w:val="20"/>
          <w:szCs w:val="20"/>
          <w:lang w:eastAsia="en-US"/>
        </w:rPr>
        <w:t>шестьдесят два миллиона триста две тысячи девятьсот шестнадцать</w:t>
      </w:r>
      <w:r w:rsidRPr="00E9629F">
        <w:rPr>
          <w:rFonts w:ascii="Tahoma" w:eastAsiaTheme="minorHAnsi" w:hAnsi="Tahoma" w:cs="Tahoma"/>
          <w:sz w:val="20"/>
          <w:szCs w:val="20"/>
          <w:lang w:eastAsia="en-US"/>
        </w:rPr>
        <w:t xml:space="preserve"> рублей) 40 копеек,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7B4687">
      <w:pPr>
        <w:pStyle w:val="a6"/>
        <w:numPr>
          <w:ilvl w:val="1"/>
          <w:numId w:val="34"/>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7B0324">
      <w:pPr>
        <w:pStyle w:val="a6"/>
        <w:numPr>
          <w:ilvl w:val="1"/>
          <w:numId w:val="34"/>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A87617">
      <w:pPr>
        <w:pStyle w:val="a6"/>
        <w:numPr>
          <w:ilvl w:val="1"/>
          <w:numId w:val="34"/>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6E51AD">
      <w:pPr>
        <w:pStyle w:val="a6"/>
        <w:numPr>
          <w:ilvl w:val="0"/>
          <w:numId w:val="34"/>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4F0970">
      <w:pPr>
        <w:numPr>
          <w:ilvl w:val="2"/>
          <w:numId w:val="34"/>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371271"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С</w:t>
      </w:r>
      <w:r w:rsidR="004F0970" w:rsidRPr="004F0970">
        <w:rPr>
          <w:rFonts w:ascii="Tahoma" w:eastAsia="Times New Roman" w:hAnsi="Tahoma" w:cs="Tahoma"/>
          <w:sz w:val="20"/>
          <w:szCs w:val="20"/>
          <w:lang w:eastAsia="ru-RU"/>
        </w:rPr>
        <w:t>чет</w:t>
      </w:r>
      <w:r>
        <w:rPr>
          <w:rFonts w:ascii="Tahoma" w:eastAsia="Times New Roman" w:hAnsi="Tahoma" w:cs="Tahoma"/>
          <w:sz w:val="20"/>
          <w:szCs w:val="20"/>
          <w:lang w:eastAsia="ru-RU"/>
        </w:rPr>
        <w:t xml:space="preserve"> (Счет-Фактура)</w:t>
      </w:r>
      <w:r w:rsidR="004F0970" w:rsidRPr="004F0970">
        <w:rPr>
          <w:rFonts w:ascii="Tahoma" w:eastAsia="Times New Roman" w:hAnsi="Tahoma" w:cs="Tahoma"/>
          <w:sz w:val="20"/>
          <w:szCs w:val="20"/>
          <w:lang w:eastAsia="ru-RU"/>
        </w:rPr>
        <w:t>;</w:t>
      </w:r>
    </w:p>
    <w:p w:rsidR="004F0970" w:rsidRPr="004F0970" w:rsidRDefault="00371271"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color w:val="000000"/>
          <w:sz w:val="20"/>
          <w:szCs w:val="20"/>
          <w:lang w:eastAsia="ru-RU"/>
        </w:rPr>
        <w:t>Справка</w:t>
      </w:r>
      <w:r w:rsidR="004F0970" w:rsidRPr="004F0970">
        <w:rPr>
          <w:rFonts w:ascii="Tahoma" w:eastAsia="Times New Roman" w:hAnsi="Tahoma" w:cs="Tahoma"/>
          <w:color w:val="000000"/>
          <w:sz w:val="20"/>
          <w:szCs w:val="20"/>
          <w:lang w:eastAsia="ru-RU"/>
        </w:rPr>
        <w:t xml:space="preserve"> о стоимости выполненных Работ (форма №КС-3);</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 сдачи – приемки выполненных работ (форма № КС-2), подписанного Сторонами;</w:t>
      </w:r>
    </w:p>
    <w:p w:rsid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w:t>
      </w:r>
      <w:r w:rsidR="00371271">
        <w:rPr>
          <w:rFonts w:ascii="Tahoma" w:eastAsia="Times New Roman" w:hAnsi="Tahoma" w:cs="Tahoma"/>
          <w:sz w:val="20"/>
          <w:szCs w:val="20"/>
          <w:lang w:eastAsia="ru-RU"/>
        </w:rPr>
        <w:t>ы</w:t>
      </w:r>
      <w:r w:rsidRPr="004F0970">
        <w:rPr>
          <w:rFonts w:ascii="Tahoma" w:eastAsia="Times New Roman" w:hAnsi="Tahoma" w:cs="Tahoma"/>
          <w:sz w:val="20"/>
          <w:szCs w:val="20"/>
          <w:lang w:eastAsia="ru-RU"/>
        </w:rPr>
        <w:t xml:space="preserve"> </w:t>
      </w:r>
      <w:r w:rsidR="00371271">
        <w:rPr>
          <w:rFonts w:ascii="Tahoma" w:eastAsia="Times New Roman" w:hAnsi="Tahoma" w:cs="Tahoma"/>
          <w:sz w:val="20"/>
          <w:szCs w:val="20"/>
          <w:lang w:eastAsia="ru-RU"/>
        </w:rPr>
        <w:t>проверки прибора</w:t>
      </w:r>
      <w:r w:rsidR="00371271" w:rsidRPr="00371271">
        <w:rPr>
          <w:rFonts w:ascii="Tahoma" w:eastAsia="Times New Roman" w:hAnsi="Tahoma" w:cs="Tahoma"/>
          <w:sz w:val="20"/>
          <w:szCs w:val="20"/>
          <w:lang w:eastAsia="ru-RU"/>
        </w:rPr>
        <w:t xml:space="preserve"> учета (измерительн</w:t>
      </w:r>
      <w:r w:rsidR="00371271">
        <w:rPr>
          <w:rFonts w:ascii="Tahoma" w:eastAsia="Times New Roman" w:hAnsi="Tahoma" w:cs="Tahoma"/>
          <w:sz w:val="20"/>
          <w:szCs w:val="20"/>
          <w:lang w:eastAsia="ru-RU"/>
        </w:rPr>
        <w:t>ого</w:t>
      </w:r>
      <w:r w:rsidR="00371271" w:rsidRPr="00371271">
        <w:rPr>
          <w:rFonts w:ascii="Tahoma" w:eastAsia="Times New Roman" w:hAnsi="Tahoma" w:cs="Tahoma"/>
          <w:sz w:val="20"/>
          <w:szCs w:val="20"/>
          <w:lang w:eastAsia="ru-RU"/>
        </w:rPr>
        <w:t xml:space="preserve"> комплекс</w:t>
      </w:r>
      <w:r w:rsidR="00371271">
        <w:rPr>
          <w:rFonts w:ascii="Tahoma" w:eastAsia="Times New Roman" w:hAnsi="Tahoma" w:cs="Tahoma"/>
          <w:sz w:val="20"/>
          <w:szCs w:val="20"/>
          <w:lang w:eastAsia="ru-RU"/>
        </w:rPr>
        <w:t>а</w:t>
      </w:r>
      <w:r w:rsidR="00371271" w:rsidRPr="00371271">
        <w:rPr>
          <w:rFonts w:ascii="Tahoma" w:eastAsia="Times New Roman" w:hAnsi="Tahoma" w:cs="Tahoma"/>
          <w:sz w:val="20"/>
          <w:szCs w:val="20"/>
          <w:lang w:eastAsia="ru-RU"/>
        </w:rPr>
        <w:t xml:space="preserve">) </w:t>
      </w:r>
      <w:r w:rsidRPr="004F0970">
        <w:rPr>
          <w:rFonts w:ascii="Tahoma" w:eastAsia="Times New Roman" w:hAnsi="Tahoma" w:cs="Tahoma"/>
          <w:sz w:val="20"/>
          <w:szCs w:val="20"/>
          <w:lang w:eastAsia="ru-RU"/>
        </w:rPr>
        <w:t>по эта</w:t>
      </w:r>
      <w:r w:rsidR="005F57EF">
        <w:rPr>
          <w:rFonts w:ascii="Tahoma" w:eastAsia="Times New Roman" w:hAnsi="Tahoma" w:cs="Tahoma"/>
          <w:sz w:val="20"/>
          <w:szCs w:val="20"/>
          <w:lang w:eastAsia="ru-RU"/>
        </w:rPr>
        <w:t>пу, подписанных всеми Сторонами.</w:t>
      </w:r>
    </w:p>
    <w:p w:rsidR="00A84B56" w:rsidRPr="00A84B56" w:rsidRDefault="00A84B56" w:rsidP="00A84B56">
      <w:pPr>
        <w:pStyle w:val="a6"/>
        <w:autoSpaceDE w:val="0"/>
        <w:autoSpaceDN w:val="0"/>
        <w:adjustRightInd w:val="0"/>
        <w:spacing w:before="40" w:after="40"/>
        <w:rPr>
          <w:rFonts w:ascii="Tahoma" w:eastAsia="Times New Roman" w:hAnsi="Tahoma" w:cs="Tahoma"/>
          <w:sz w:val="20"/>
          <w:szCs w:val="20"/>
        </w:rPr>
      </w:pPr>
      <w:r w:rsidRPr="00A84B56">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Default="003D62A7"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w:t>
      </w:r>
      <w:r w:rsidR="004F0970" w:rsidRPr="004F0970">
        <w:rPr>
          <w:rFonts w:ascii="Tahoma" w:eastAsia="Times New Roman" w:hAnsi="Tahoma" w:cs="Tahoma"/>
          <w:sz w:val="20"/>
          <w:szCs w:val="20"/>
          <w:lang w:eastAsia="ru-RU"/>
        </w:rPr>
        <w:t>чета;</w:t>
      </w:r>
    </w:p>
    <w:p w:rsidR="003D62A7" w:rsidRPr="003D62A7" w:rsidRDefault="003D62A7" w:rsidP="003D62A7">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D62A7">
        <w:rPr>
          <w:rFonts w:ascii="Tahoma" w:eastAsia="Times New Roman" w:hAnsi="Tahoma" w:cs="Tahoma"/>
          <w:sz w:val="20"/>
          <w:szCs w:val="20"/>
          <w:lang w:eastAsia="ru-RU"/>
        </w:rPr>
        <w:t>Справка о стоимости выполненных Работ (форма №КС-3);</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Default="004F0970" w:rsidP="005F57E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A84B56" w:rsidRPr="004F0970" w:rsidRDefault="00A84B56" w:rsidP="00A84B56">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A84B56">
        <w:rPr>
          <w:rFonts w:ascii="Tahoma" w:eastAsia="Times New Roman" w:hAnsi="Tahoma" w:cs="Tahoma"/>
          <w:sz w:val="20"/>
          <w:szCs w:val="20"/>
          <w:lang w:eastAsia="ru-RU"/>
        </w:rPr>
        <w:t>Частичная оплата заявки на выполнение работ не допускается.</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5F57EF">
      <w:pPr>
        <w:widowControl w:val="0"/>
        <w:numPr>
          <w:ilvl w:val="0"/>
          <w:numId w:val="2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5F57EF">
      <w:pPr>
        <w:widowControl w:val="0"/>
        <w:numPr>
          <w:ilvl w:val="0"/>
          <w:numId w:val="2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5F57EF">
      <w:pPr>
        <w:widowControl w:val="0"/>
        <w:numPr>
          <w:ilvl w:val="1"/>
          <w:numId w:val="34"/>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5F57EF">
      <w:pPr>
        <w:widowControl w:val="0"/>
        <w:numPr>
          <w:ilvl w:val="1"/>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lastRenderedPageBreak/>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E076F8"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C730D6">
      <w:pPr>
        <w:pStyle w:val="a6"/>
        <w:numPr>
          <w:ilvl w:val="1"/>
          <w:numId w:val="34"/>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EF26F2" w:rsidRPr="009A5BCC"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Порядок выполнения Работ определён в соответствии с Техническим заданием </w:t>
      </w:r>
      <w:r w:rsidRPr="009A5BCC">
        <w:rPr>
          <w:rFonts w:ascii="Tahoma" w:eastAsiaTheme="minorHAnsi" w:hAnsi="Tahoma" w:cs="Tahoma"/>
          <w:sz w:val="20"/>
          <w:szCs w:val="20"/>
          <w:lang w:eastAsia="en-US"/>
        </w:rPr>
        <w:t>(Приложение №1 к Договору).</w:t>
      </w:r>
    </w:p>
    <w:p w:rsidR="00EF26F2" w:rsidRPr="009E16F3" w:rsidRDefault="00EF26F2" w:rsidP="00EF26F2">
      <w:pPr>
        <w:pStyle w:val="a6"/>
        <w:numPr>
          <w:ilvl w:val="1"/>
          <w:numId w:val="34"/>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формирует Заявки на выполнение работ (Приложение №3 к Договору) равномерно по количеству приборов учета электрической энергии, исходя из общего количества </w:t>
      </w:r>
      <w:r w:rsidRPr="009E16F3">
        <w:rPr>
          <w:rFonts w:ascii="Tahoma" w:hAnsi="Tahoma" w:cs="Tahoma"/>
          <w:color w:val="00B050"/>
          <w:sz w:val="20"/>
          <w:szCs w:val="20"/>
        </w:rPr>
        <w:t>приборов учета электрической энергии подлежащих перепрограммированию и срока выполнения Работ по Договору. 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EF26F2" w:rsidRPr="009E16F3" w:rsidRDefault="00EF26F2" w:rsidP="00EF26F2">
      <w:pPr>
        <w:pStyle w:val="a6"/>
        <w:numPr>
          <w:ilvl w:val="1"/>
          <w:numId w:val="34"/>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EF26F2" w:rsidRPr="009E16F3" w:rsidRDefault="00EF26F2" w:rsidP="00EF26F2">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Заявка на выполнение работ (Приложение №3 к Договору) должна быть выполнена в указанный в ней срок.</w:t>
      </w:r>
    </w:p>
    <w:p w:rsidR="00EF26F2" w:rsidRPr="009E16F3" w:rsidRDefault="00EF26F2" w:rsidP="00EF26F2">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Допускается досрочное выполнение работ по Заявке (Приложение №3 к Договору).</w:t>
      </w:r>
    </w:p>
    <w:p w:rsidR="00EF26F2" w:rsidRPr="009E16F3" w:rsidRDefault="00EF26F2" w:rsidP="00EF26F2">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EF26F2" w:rsidRPr="009E16F3" w:rsidRDefault="00EF26F2" w:rsidP="00EF26F2">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heme="minorHAnsi" w:hAnsi="Tahoma" w:cs="Tahoma"/>
          <w:color w:val="00B050"/>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EF26F2" w:rsidRPr="009E16F3" w:rsidRDefault="00EF26F2" w:rsidP="00EF26F2">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отсутствует техническая возможность перепрограммирования установленного ПУ, с составлением Акта (Приложение №4 к Договору);</w:t>
      </w:r>
    </w:p>
    <w:p w:rsidR="00EF26F2" w:rsidRPr="009E16F3" w:rsidRDefault="00EF26F2" w:rsidP="00EF26F2">
      <w:pPr>
        <w:pStyle w:val="a6"/>
        <w:widowControl w:val="0"/>
        <w:numPr>
          <w:ilvl w:val="0"/>
          <w:numId w:val="31"/>
        </w:numPr>
        <w:ind w:left="0" w:firstLine="0"/>
        <w:jc w:val="both"/>
        <w:rPr>
          <w:rFonts w:ascii="Tahoma" w:eastAsia="Times New Roman" w:hAnsi="Tahoma" w:cs="Tahoma"/>
          <w:iCs/>
          <w:color w:val="00B050"/>
          <w:sz w:val="20"/>
          <w:szCs w:val="20"/>
        </w:rPr>
      </w:pPr>
      <w:r w:rsidRPr="009E16F3">
        <w:rPr>
          <w:rFonts w:ascii="Tahoma" w:eastAsia="Times New Roman" w:hAnsi="Tahoma" w:cs="Tahoma"/>
          <w:color w:val="00B050"/>
          <w:sz w:val="20"/>
          <w:szCs w:val="20"/>
        </w:rPr>
        <w:t xml:space="preserve">клиент был уведомлен и дважды отказал в доступе к месту перепрограммирования ПУ, а также составлены два Акта </w:t>
      </w:r>
      <w:r w:rsidRPr="009E16F3">
        <w:rPr>
          <w:rFonts w:ascii="Tahoma" w:eastAsia="Times New Roman" w:hAnsi="Tahoma" w:cs="Tahoma"/>
          <w:iCs/>
          <w:color w:val="00B050"/>
          <w:sz w:val="20"/>
          <w:szCs w:val="20"/>
        </w:rPr>
        <w:t>об отказе в допуске к прибору учета электрической энергии/недопуска в жилое и (или) нежилое помещение</w:t>
      </w:r>
      <w:r w:rsidRPr="009E16F3">
        <w:rPr>
          <w:rFonts w:ascii="Tahoma" w:eastAsia="Times New Roman" w:hAnsi="Tahoma" w:cs="Tahoma"/>
          <w:color w:val="00B050"/>
          <w:sz w:val="20"/>
          <w:szCs w:val="20"/>
        </w:rPr>
        <w:t xml:space="preserve"> (Приложение №5 к Договору) в соответствии с п.6.6 Технического задания (Приложение № 1 к Договору);</w:t>
      </w:r>
    </w:p>
    <w:p w:rsidR="00EF26F2" w:rsidRPr="009E16F3" w:rsidRDefault="00EF26F2" w:rsidP="00EF26F2">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исключение объекта из заявки Заказчиком;</w:t>
      </w:r>
    </w:p>
    <w:p w:rsidR="00EF26F2" w:rsidRPr="009E16F3" w:rsidRDefault="00EF26F2" w:rsidP="00EF26F2">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отсутствие приборов учета на Объекте.</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FE6C1B">
        <w:rPr>
          <w:rFonts w:ascii="Tahoma" w:eastAsiaTheme="minorHAnsi" w:hAnsi="Tahoma" w:cs="Tahoma"/>
          <w:sz w:val="20"/>
          <w:szCs w:val="20"/>
          <w:lang w:eastAsia="en-US"/>
        </w:rPr>
        <w:t>Подрядчик обязан незамедлительно (в течение 1 рабочего дня после получения такой информации) сообщить Заказчику обо всех обстоятельствах</w:t>
      </w:r>
      <w:r w:rsidRPr="00871EDA">
        <w:rPr>
          <w:rFonts w:ascii="Tahoma" w:eastAsiaTheme="minorHAnsi" w:hAnsi="Tahoma" w:cs="Tahoma"/>
          <w:sz w:val="20"/>
          <w:szCs w:val="20"/>
          <w:lang w:eastAsia="en-US"/>
        </w:rPr>
        <w:t xml:space="preserve">,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w:t>
      </w:r>
      <w:r>
        <w:rPr>
          <w:rFonts w:ascii="Tahoma" w:eastAsiaTheme="minorHAnsi" w:hAnsi="Tahoma" w:cs="Tahoma"/>
          <w:sz w:val="20"/>
          <w:szCs w:val="20"/>
          <w:lang w:eastAsia="en-US"/>
        </w:rPr>
        <w:t>перепрограммирования</w:t>
      </w:r>
      <w:r w:rsidRPr="00871EDA">
        <w:rPr>
          <w:rFonts w:ascii="Tahoma" w:eastAsiaTheme="minorHAnsi" w:hAnsi="Tahoma" w:cs="Tahoma"/>
          <w:sz w:val="20"/>
          <w:szCs w:val="20"/>
          <w:lang w:eastAsia="en-US"/>
        </w:rPr>
        <w:t xml:space="preserve"> ПУ на Объектах, согласованных Сторонами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w:t>
      </w:r>
      <w:r w:rsidRPr="00871EDA">
        <w:rPr>
          <w:rFonts w:ascii="Tahoma" w:eastAsiaTheme="minorHAnsi" w:hAnsi="Tahoma" w:cs="Tahoma"/>
          <w:sz w:val="20"/>
          <w:szCs w:val="20"/>
          <w:lang w:eastAsia="en-US"/>
        </w:rPr>
        <w:lastRenderedPageBreak/>
        <w:t xml:space="preserve">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EF26F2" w:rsidRPr="002869D5"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EF26F2" w:rsidRPr="00F00F35"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EF26F2"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EF26F2" w:rsidRPr="007C31E8"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w:t>
      </w:r>
      <w:r w:rsidRPr="007C31E8">
        <w:rPr>
          <w:rFonts w:ascii="Tahoma" w:eastAsiaTheme="minorHAnsi" w:hAnsi="Tahoma" w:cs="Tahoma"/>
          <w:sz w:val="20"/>
          <w:szCs w:val="20"/>
          <w:lang w:eastAsia="en-US"/>
        </w:rPr>
        <w:t xml:space="preserve"> (или) нежилое </w:t>
      </w:r>
      <w:r w:rsidRPr="00FE6C1B">
        <w:rPr>
          <w:rFonts w:ascii="Tahoma" w:eastAsiaTheme="minorHAnsi" w:hAnsi="Tahoma" w:cs="Tahoma"/>
          <w:sz w:val="20"/>
          <w:szCs w:val="20"/>
          <w:lang w:eastAsia="en-US"/>
        </w:rPr>
        <w:t>помещение (Приложение №5 к Договору), писем</w:t>
      </w:r>
      <w:r w:rsidRPr="007C31E8">
        <w:rPr>
          <w:rFonts w:ascii="Tahoma" w:eastAsiaTheme="minorHAnsi" w:hAnsi="Tahoma" w:cs="Tahoma"/>
          <w:sz w:val="20"/>
          <w:szCs w:val="20"/>
          <w:lang w:eastAsia="en-US"/>
        </w:rPr>
        <w:t xml:space="preserve"> о допуске на объекты и уведомление потребителей.</w:t>
      </w:r>
    </w:p>
    <w:p w:rsidR="003F594D" w:rsidRPr="00871EDA" w:rsidRDefault="00EF26F2" w:rsidP="00EF26F2">
      <w:pPr>
        <w:pStyle w:val="a6"/>
        <w:numPr>
          <w:ilvl w:val="1"/>
          <w:numId w:val="34"/>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E16F3">
        <w:rPr>
          <w:rFonts w:ascii="Tahoma" w:hAnsi="Tahoma" w:cs="Tahoma"/>
          <w:color w:val="00B050"/>
          <w:sz w:val="20"/>
          <w:szCs w:val="20"/>
          <w:shd w:val="clear" w:color="auto" w:fill="FFFFFF"/>
        </w:rPr>
        <w:t xml:space="preserve"> запрета</w:t>
      </w:r>
      <w:r w:rsidR="003F594D" w:rsidRPr="00871EDA">
        <w:rPr>
          <w:rFonts w:ascii="Tahoma" w:hAnsi="Tahoma" w:cs="Tahoma"/>
          <w:color w:val="000000"/>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612CC0" w:rsidRPr="006B7941" w:rsidRDefault="00612CC0" w:rsidP="00612CC0">
      <w:pPr>
        <w:pStyle w:val="a6"/>
        <w:widowControl w:val="0"/>
        <w:numPr>
          <w:ilvl w:val="0"/>
          <w:numId w:val="32"/>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612CC0" w:rsidRPr="00871EDA" w:rsidRDefault="00612CC0" w:rsidP="00612CC0">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612CC0" w:rsidRPr="00871EDA" w:rsidRDefault="00612CC0" w:rsidP="00612CC0">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612CC0" w:rsidRPr="00871EDA" w:rsidRDefault="00612CC0" w:rsidP="00612CC0">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612CC0" w:rsidRPr="009A5BCC" w:rsidRDefault="00612CC0" w:rsidP="00612CC0">
      <w:pPr>
        <w:pStyle w:val="a6"/>
        <w:widowControl w:val="0"/>
        <w:numPr>
          <w:ilvl w:val="0"/>
          <w:numId w:val="32"/>
        </w:numPr>
        <w:ind w:left="0" w:firstLine="0"/>
        <w:contextualSpacing w:val="0"/>
        <w:jc w:val="both"/>
        <w:rPr>
          <w:rFonts w:ascii="Tahoma" w:hAnsi="Tahoma" w:cs="Tahoma"/>
          <w:sz w:val="20"/>
          <w:szCs w:val="20"/>
        </w:rPr>
      </w:pPr>
      <w:r w:rsidRPr="009A5BCC">
        <w:rPr>
          <w:rFonts w:ascii="Tahoma" w:hAnsi="Tahoma" w:cs="Tahoma"/>
          <w:sz w:val="20"/>
          <w:szCs w:val="20"/>
        </w:rPr>
        <w:lastRenderedPageBreak/>
        <w:t xml:space="preserve">акты приемки полного комплекта приемо-сдаточной документации в соответствии с п. 11 Технического задания (Приложение № 1 к Договору); </w:t>
      </w:r>
    </w:p>
    <w:p w:rsidR="00612CC0" w:rsidRPr="00871EDA" w:rsidRDefault="00612CC0" w:rsidP="00612CC0">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счета-фактуры, удостоверенные подписью руководителя Подрядчика и его печатью.</w:t>
      </w:r>
    </w:p>
    <w:p w:rsidR="00612CC0" w:rsidRPr="009A5BCC"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B76E61">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B76E61">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612CC0"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612CC0" w:rsidRPr="009E16F3" w:rsidRDefault="00612CC0" w:rsidP="00612CC0">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lastRenderedPageBreak/>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eastAsia="Times New Roman" w:hAnsi="Tahoma" w:cs="Tahoma"/>
          <w:color w:val="00B050"/>
          <w:sz w:val="20"/>
          <w:szCs w:val="20"/>
        </w:rPr>
        <w:t>Подрядчик</w:t>
      </w:r>
      <w:r w:rsidRPr="009E16F3">
        <w:rPr>
          <w:rFonts w:ascii="Tahoma" w:hAnsi="Tahoma" w:cs="Tahoma"/>
          <w:color w:val="00B050"/>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во время выполнения Работ станет очевидным, что они не будут выполнены надлежащим образом и в срок;</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на результат работ заявлены права третьих лиц;</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 отношении Подрядчика принято решения о ликвидации, либо реорганизации;</w:t>
      </w:r>
    </w:p>
    <w:p w:rsidR="00612CC0" w:rsidRPr="009E16F3" w:rsidRDefault="00612CC0" w:rsidP="00612CC0">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612CC0" w:rsidP="00612CC0">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871EDA">
        <w:rPr>
          <w:rFonts w:ascii="Tahoma" w:eastAsiaTheme="minorHAnsi" w:hAnsi="Tahoma" w:cs="Tahoma"/>
          <w:sz w:val="20"/>
          <w:szCs w:val="20"/>
          <w:lang w:eastAsia="en-US"/>
        </w:rPr>
        <w:t xml:space="preserve">. </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871EDA">
        <w:rPr>
          <w:rFonts w:ascii="Tahoma" w:eastAsiaTheme="minorHAnsi" w:hAnsi="Tahoma" w:cs="Tahoma"/>
          <w:sz w:val="20"/>
          <w:szCs w:val="20"/>
          <w:lang w:eastAsia="en-US"/>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w:t>
      </w:r>
      <w:r w:rsidRPr="00F3107E">
        <w:rPr>
          <w:rFonts w:ascii="Tahoma" w:hAnsi="Tahoma" w:cs="Tahoma"/>
          <w:sz w:val="20"/>
          <w:szCs w:val="20"/>
        </w:rPr>
        <w:lastRenderedPageBreak/>
        <w:t>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0"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r w:rsidRPr="00871EDA">
        <w:rPr>
          <w:rFonts w:ascii="Tahoma" w:eastAsia="Times New Roman" w:hAnsi="Tahoma" w:cs="Tahoma"/>
          <w:sz w:val="20"/>
          <w:szCs w:val="20"/>
        </w:rPr>
        <w:lastRenderedPageBreak/>
        <w:t>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0"/>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lastRenderedPageBreak/>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8A2C7C">
        <w:rPr>
          <w:i w:val="0"/>
        </w:rPr>
        <w:t>Северного</w:t>
      </w:r>
      <w:r w:rsidR="00E63EC8" w:rsidRPr="00CD47A6">
        <w:rPr>
          <w:i w:val="0"/>
        </w:rPr>
        <w:t xml:space="preserve"> 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EF26F2" w:rsidRPr="00871EDA" w:rsidTr="00646BFD">
        <w:trPr>
          <w:trHeight w:val="483"/>
        </w:trPr>
        <w:tc>
          <w:tcPr>
            <w:tcW w:w="5213" w:type="dxa"/>
          </w:tcPr>
          <w:p w:rsidR="00EF26F2" w:rsidRPr="00871EDA" w:rsidRDefault="00EF26F2" w:rsidP="00EF26F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EF26F2" w:rsidRPr="00871EDA" w:rsidRDefault="00EF26F2" w:rsidP="00EF26F2">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EF26F2" w:rsidRPr="00871EDA" w:rsidRDefault="00EF26F2" w:rsidP="00EF26F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EF26F2" w:rsidRPr="00871EDA" w:rsidTr="00646BFD">
        <w:trPr>
          <w:trHeight w:val="512"/>
        </w:trPr>
        <w:tc>
          <w:tcPr>
            <w:tcW w:w="5213" w:type="dxa"/>
          </w:tcPr>
          <w:p w:rsidR="00EF26F2" w:rsidRPr="00871EDA" w:rsidRDefault="00EF26F2" w:rsidP="00EF26F2">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EF26F2" w:rsidRPr="00871EDA" w:rsidRDefault="00EF26F2" w:rsidP="00EF26F2">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EF26F2" w:rsidRPr="00871EDA" w:rsidTr="00646BFD">
        <w:trPr>
          <w:trHeight w:val="1347"/>
        </w:trPr>
        <w:tc>
          <w:tcPr>
            <w:tcW w:w="5213" w:type="dxa"/>
          </w:tcPr>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Юридический адрес: </w:t>
            </w:r>
          </w:p>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p>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p>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Почтовый адрес: </w:t>
            </w: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ИНН/КПП </w:t>
            </w:r>
          </w:p>
          <w:p w:rsidR="00EF26F2" w:rsidRPr="009E16F3" w:rsidRDefault="00EF26F2" w:rsidP="00EF26F2">
            <w:pPr>
              <w:autoSpaceDE w:val="0"/>
              <w:autoSpaceDN w:val="0"/>
              <w:adjustRightInd w:val="0"/>
              <w:spacing w:after="0" w:line="240" w:lineRule="auto"/>
              <w:jc w:val="both"/>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ОГРН </w:t>
            </w: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Телефон/факс: </w:t>
            </w:r>
          </w:p>
          <w:p w:rsidR="00EF26F2" w:rsidRPr="009E16F3" w:rsidRDefault="00EF26F2" w:rsidP="00EF26F2">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val="en-US" w:eastAsia="ru-RU"/>
              </w:rPr>
              <w:t>e</w:t>
            </w:r>
            <w:r w:rsidRPr="009E16F3">
              <w:rPr>
                <w:rFonts w:ascii="Tahoma" w:eastAsia="Times New Roman" w:hAnsi="Tahoma" w:cs="Tahoma"/>
                <w:color w:val="00B050"/>
                <w:sz w:val="20"/>
                <w:szCs w:val="20"/>
                <w:lang w:eastAsia="ru-RU"/>
              </w:rPr>
              <w:t>-</w:t>
            </w:r>
            <w:r w:rsidRPr="009E16F3">
              <w:rPr>
                <w:rFonts w:ascii="Tahoma" w:eastAsia="Times New Roman" w:hAnsi="Tahoma" w:cs="Tahoma"/>
                <w:color w:val="00B050"/>
                <w:sz w:val="20"/>
                <w:szCs w:val="20"/>
                <w:lang w:val="en-US" w:eastAsia="ru-RU"/>
              </w:rPr>
              <w:t>mail</w:t>
            </w:r>
            <w:r w:rsidRPr="009E16F3">
              <w:rPr>
                <w:rFonts w:ascii="Tahoma" w:eastAsia="Times New Roman" w:hAnsi="Tahoma" w:cs="Tahoma"/>
                <w:color w:val="00B050"/>
                <w:sz w:val="20"/>
                <w:szCs w:val="20"/>
                <w:lang w:eastAsia="ru-RU"/>
              </w:rPr>
              <w:t>:</w:t>
            </w:r>
          </w:p>
          <w:p w:rsidR="00EF26F2" w:rsidRPr="008A3F27" w:rsidRDefault="00EF26F2" w:rsidP="00EF26F2">
            <w:pPr>
              <w:widowControl w:val="0"/>
              <w:shd w:val="clear" w:color="auto" w:fill="FFFFFF"/>
              <w:spacing w:after="0" w:line="240" w:lineRule="auto"/>
              <w:jc w:val="both"/>
              <w:rPr>
                <w:rFonts w:ascii="Tahoma" w:eastAsia="Times New Roman" w:hAnsi="Tahoma" w:cs="Tahoma"/>
                <w:color w:val="FF0000"/>
                <w:spacing w:val="-3"/>
                <w:sz w:val="20"/>
                <w:szCs w:val="20"/>
                <w:lang w:eastAsia="ru-RU"/>
              </w:rPr>
            </w:pPr>
          </w:p>
        </w:tc>
        <w:tc>
          <w:tcPr>
            <w:tcW w:w="5413" w:type="dxa"/>
          </w:tcPr>
          <w:p w:rsidR="00EF26F2" w:rsidRPr="00871EDA" w:rsidRDefault="00EF26F2" w:rsidP="00EF26F2">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EF26F2" w:rsidRPr="00871EDA" w:rsidRDefault="00EF26F2" w:rsidP="00EF26F2">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EF26F2" w:rsidRPr="00871EDA" w:rsidRDefault="00EF26F2" w:rsidP="00EF26F2">
            <w:pPr>
              <w:pStyle w:val="ConsNormal"/>
              <w:ind w:firstLine="0"/>
              <w:rPr>
                <w:rFonts w:ascii="Tahoma" w:hAnsi="Tahoma" w:cs="Tahoma"/>
              </w:rPr>
            </w:pPr>
            <w:r w:rsidRPr="00871EDA">
              <w:rPr>
                <w:rFonts w:ascii="Tahoma" w:hAnsi="Tahoma" w:cs="Tahoma"/>
              </w:rPr>
              <w:t xml:space="preserve">Наименование филиала: </w:t>
            </w:r>
          </w:p>
          <w:p w:rsidR="00EF26F2" w:rsidRPr="00871EDA" w:rsidRDefault="00EF26F2" w:rsidP="00EF26F2">
            <w:pPr>
              <w:pStyle w:val="ConsNormal"/>
              <w:ind w:firstLine="0"/>
              <w:rPr>
                <w:rFonts w:ascii="Tahoma" w:hAnsi="Tahoma" w:cs="Tahoma"/>
              </w:rPr>
            </w:pPr>
            <w:r w:rsidRPr="00871EDA">
              <w:rPr>
                <w:rFonts w:ascii="Tahoma" w:hAnsi="Tahoma" w:cs="Tahoma"/>
              </w:rPr>
              <w:t>Свердловский филиал АО «ЭнергосбыТ Плюс»</w:t>
            </w:r>
          </w:p>
          <w:p w:rsidR="00EF26F2" w:rsidRPr="00871EDA" w:rsidRDefault="00EF26F2" w:rsidP="00EF26F2">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EF26F2" w:rsidRPr="00871EDA" w:rsidRDefault="00EF26F2" w:rsidP="00EF26F2">
            <w:pPr>
              <w:pStyle w:val="ConsNormal"/>
              <w:ind w:firstLine="0"/>
              <w:rPr>
                <w:rFonts w:ascii="Tahoma" w:hAnsi="Tahoma" w:cs="Tahoma"/>
              </w:rPr>
            </w:pPr>
            <w:r w:rsidRPr="00871EDA">
              <w:rPr>
                <w:rFonts w:ascii="Tahoma" w:hAnsi="Tahoma" w:cs="Tahoma"/>
              </w:rPr>
              <w:t>Телефон/факс: (343) 355-89-24 / (343) 355-03-06</w:t>
            </w:r>
          </w:p>
          <w:p w:rsidR="00EF26F2" w:rsidRPr="00871EDA" w:rsidRDefault="00EF26F2" w:rsidP="00EF26F2">
            <w:pPr>
              <w:pStyle w:val="ConsNormal"/>
              <w:ind w:firstLine="0"/>
              <w:rPr>
                <w:rFonts w:ascii="Tahoma" w:hAnsi="Tahoma" w:cs="Tahoma"/>
              </w:rPr>
            </w:pPr>
            <w:r w:rsidRPr="00871EDA">
              <w:rPr>
                <w:rFonts w:ascii="Tahoma" w:hAnsi="Tahoma" w:cs="Tahoma"/>
              </w:rPr>
              <w:t>ИНН/КПП 5612042824/667043001</w:t>
            </w:r>
          </w:p>
          <w:p w:rsidR="00EF26F2" w:rsidRPr="00871EDA" w:rsidRDefault="00EF26F2" w:rsidP="00EF26F2">
            <w:pPr>
              <w:pStyle w:val="ConsPlusNonformat"/>
              <w:widowControl/>
              <w:jc w:val="both"/>
              <w:rPr>
                <w:rFonts w:ascii="Tahoma" w:hAnsi="Tahoma" w:cs="Tahoma"/>
              </w:rPr>
            </w:pPr>
            <w:r w:rsidRPr="00871EDA">
              <w:rPr>
                <w:rFonts w:ascii="Tahoma" w:hAnsi="Tahoma" w:cs="Tahoma"/>
              </w:rPr>
              <w:t>ОГРН 1055612021981 ОКПО 44125694</w:t>
            </w:r>
          </w:p>
          <w:p w:rsidR="00EF26F2" w:rsidRPr="00871EDA" w:rsidRDefault="00EF26F2" w:rsidP="00EF26F2">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EF26F2" w:rsidRPr="00871EDA" w:rsidTr="00646BFD">
        <w:trPr>
          <w:trHeight w:val="329"/>
        </w:trPr>
        <w:tc>
          <w:tcPr>
            <w:tcW w:w="5213" w:type="dxa"/>
          </w:tcPr>
          <w:p w:rsidR="00EF26F2" w:rsidRPr="009E16F3" w:rsidRDefault="00EF26F2" w:rsidP="00EF26F2">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Банковские реквизиты: </w:t>
            </w:r>
          </w:p>
          <w:p w:rsidR="00EF26F2" w:rsidRPr="009E16F3" w:rsidRDefault="00EF26F2" w:rsidP="00EF26F2">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________________________</w:t>
            </w:r>
          </w:p>
          <w:p w:rsidR="00EF26F2" w:rsidRPr="009E16F3" w:rsidRDefault="00EF26F2" w:rsidP="00EF26F2">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р/с </w:t>
            </w:r>
          </w:p>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к/с </w:t>
            </w:r>
          </w:p>
          <w:p w:rsidR="00EF26F2" w:rsidRPr="009E16F3" w:rsidRDefault="00EF26F2" w:rsidP="00EF26F2">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БИК</w:t>
            </w:r>
          </w:p>
          <w:p w:rsidR="00EF26F2" w:rsidRPr="009E16F3" w:rsidRDefault="00EF26F2" w:rsidP="00EF26F2">
            <w:pPr>
              <w:widowControl w:val="0"/>
              <w:spacing w:after="0" w:line="240" w:lineRule="auto"/>
              <w:jc w:val="both"/>
              <w:rPr>
                <w:rFonts w:ascii="Tahoma" w:eastAsia="Times New Roman" w:hAnsi="Tahoma" w:cs="Tahoma"/>
                <w:color w:val="00B050"/>
                <w:sz w:val="20"/>
                <w:szCs w:val="20"/>
                <w:lang w:eastAsia="ru-RU"/>
              </w:rPr>
            </w:pPr>
          </w:p>
        </w:tc>
        <w:tc>
          <w:tcPr>
            <w:tcW w:w="5413" w:type="dxa"/>
          </w:tcPr>
          <w:p w:rsidR="00EF26F2" w:rsidRPr="00871EDA" w:rsidRDefault="00EF26F2" w:rsidP="00EF26F2">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EF26F2" w:rsidRPr="00871EDA" w:rsidRDefault="00EF26F2" w:rsidP="00EF26F2">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EF26F2" w:rsidRPr="00871EDA" w:rsidRDefault="00EF26F2" w:rsidP="00EF26F2">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EF26F2" w:rsidRPr="00871EDA" w:rsidRDefault="00EF26F2" w:rsidP="00EF26F2">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EF26F2" w:rsidRPr="00871EDA" w:rsidRDefault="00EF26F2" w:rsidP="00EF26F2">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EF26F2" w:rsidRPr="00FA73A3" w:rsidTr="00646BFD">
        <w:trPr>
          <w:trHeight w:val="812"/>
        </w:trPr>
        <w:tc>
          <w:tcPr>
            <w:tcW w:w="5213" w:type="dxa"/>
          </w:tcPr>
          <w:p w:rsidR="00EF26F2" w:rsidRPr="00871EDA" w:rsidRDefault="00EF26F2" w:rsidP="00EF26F2">
            <w:pPr>
              <w:widowControl w:val="0"/>
              <w:shd w:val="clear" w:color="auto" w:fill="FFFFFF"/>
              <w:spacing w:after="0" w:line="240" w:lineRule="auto"/>
              <w:jc w:val="both"/>
              <w:rPr>
                <w:rFonts w:ascii="Tahoma" w:hAnsi="Tahoma" w:cs="Tahoma"/>
                <w:spacing w:val="-3"/>
                <w:sz w:val="20"/>
                <w:szCs w:val="20"/>
              </w:rPr>
            </w:pPr>
          </w:p>
          <w:p w:rsidR="00EF26F2" w:rsidRPr="00871EDA" w:rsidRDefault="00EF26F2" w:rsidP="00EF26F2">
            <w:pPr>
              <w:widowControl w:val="0"/>
              <w:shd w:val="clear" w:color="auto" w:fill="FFFFFF"/>
              <w:spacing w:after="0" w:line="240" w:lineRule="auto"/>
              <w:jc w:val="both"/>
              <w:rPr>
                <w:rFonts w:ascii="Tahoma" w:hAnsi="Tahoma" w:cs="Tahoma"/>
                <w:spacing w:val="-3"/>
                <w:sz w:val="20"/>
                <w:szCs w:val="20"/>
              </w:rPr>
            </w:pPr>
          </w:p>
          <w:p w:rsidR="00EF26F2" w:rsidRPr="00871EDA" w:rsidRDefault="00EF26F2" w:rsidP="00EF26F2">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EF26F2" w:rsidRPr="00871EDA" w:rsidRDefault="00EF26F2" w:rsidP="00EF26F2">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EF26F2" w:rsidRPr="00871EDA" w:rsidRDefault="00EF26F2" w:rsidP="00EF26F2">
            <w:pPr>
              <w:widowControl w:val="0"/>
              <w:spacing w:after="0" w:line="240" w:lineRule="auto"/>
              <w:jc w:val="both"/>
              <w:rPr>
                <w:rFonts w:ascii="Tahoma" w:hAnsi="Tahoma" w:cs="Tahoma"/>
                <w:spacing w:val="-3"/>
                <w:sz w:val="20"/>
                <w:szCs w:val="20"/>
              </w:rPr>
            </w:pPr>
          </w:p>
          <w:p w:rsidR="00EF26F2" w:rsidRPr="00871EDA" w:rsidRDefault="00EF26F2" w:rsidP="00EF26F2">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202_ г.</w:t>
            </w:r>
          </w:p>
        </w:tc>
        <w:tc>
          <w:tcPr>
            <w:tcW w:w="5413" w:type="dxa"/>
          </w:tcPr>
          <w:p w:rsidR="00EF26F2" w:rsidRPr="00871EDA"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EF26F2" w:rsidRPr="00871EDA"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EF26F2" w:rsidRPr="00871EDA"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А.А. Данилов</w:t>
            </w:r>
            <w:r w:rsidRPr="00871EDA">
              <w:rPr>
                <w:rFonts w:ascii="Tahoma" w:eastAsia="Times New Roman" w:hAnsi="Tahoma" w:cs="Tahoma"/>
                <w:color w:val="000000" w:themeColor="text1"/>
                <w:spacing w:val="-3"/>
                <w:sz w:val="20"/>
                <w:szCs w:val="20"/>
                <w:lang w:eastAsia="ru-RU"/>
              </w:rPr>
              <w:t>/</w:t>
            </w:r>
          </w:p>
          <w:p w:rsidR="00EF26F2" w:rsidRPr="00871EDA"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EF26F2" w:rsidRPr="00871EDA"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EF26F2" w:rsidRPr="00FA73A3" w:rsidRDefault="00EF26F2" w:rsidP="00EF26F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202_ г.</w:t>
            </w:r>
          </w:p>
        </w:tc>
      </w:tr>
      <w:tr w:rsidR="00EF26F2" w:rsidRPr="00FA73A3" w:rsidTr="00646BFD">
        <w:trPr>
          <w:trHeight w:val="483"/>
        </w:trPr>
        <w:tc>
          <w:tcPr>
            <w:tcW w:w="5213" w:type="dxa"/>
          </w:tcPr>
          <w:p w:rsidR="00EF26F2" w:rsidRPr="00FA73A3" w:rsidRDefault="00EF26F2" w:rsidP="00EF26F2">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EF26F2" w:rsidRPr="00FA73A3" w:rsidRDefault="00EF26F2" w:rsidP="00EF26F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1" w:name="_Toc121031749"/>
      <w:bookmarkStart w:id="2" w:name="_Toc215638673"/>
      <w:bookmarkStart w:id="3" w:name="_Toc237319667"/>
      <w:bookmarkStart w:id="4"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1"/>
    <w:bookmarkEnd w:id="2"/>
    <w:bookmarkEnd w:id="3"/>
    <w:bookmarkEnd w:id="4"/>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8A2C7C">
        <w:rPr>
          <w:rFonts w:ascii="Tahoma" w:eastAsia="Times New Roman" w:hAnsi="Tahoma" w:cs="Tahoma"/>
        </w:rPr>
        <w:t>Северного</w:t>
      </w:r>
      <w:r w:rsidRPr="00E308C1">
        <w:rPr>
          <w:rFonts w:ascii="Tahoma" w:eastAsia="Times New Roman" w:hAnsi="Tahoma" w:cs="Tahoma"/>
        </w:rPr>
        <w:t xml:space="preserve">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8A2C7C">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w:t>
            </w:r>
            <w:r w:rsidR="008A2C7C">
              <w:rPr>
                <w:rFonts w:ascii="Tahoma" w:eastAsia="Times New Roman" w:hAnsi="Tahoma" w:cs="Tahoma"/>
                <w:sz w:val="20"/>
                <w:szCs w:val="20"/>
              </w:rPr>
              <w:t>Северного о</w:t>
            </w:r>
            <w:r w:rsidRPr="009F4C37">
              <w:rPr>
                <w:rFonts w:ascii="Tahoma" w:eastAsia="Times New Roman" w:hAnsi="Tahoma" w:cs="Tahoma"/>
                <w:sz w:val="20"/>
                <w:szCs w:val="20"/>
              </w:rPr>
              <w:t>тделения Свердловского филиала АО «ЭнергосбыТ Плюс»</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612CC0" w:rsidRPr="009F4C37" w:rsidRDefault="00612CC0" w:rsidP="00612CC0">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612CC0" w:rsidRPr="009F4C37" w:rsidRDefault="00612CC0" w:rsidP="00612CC0">
            <w:pPr>
              <w:contextualSpacing/>
              <w:jc w:val="both"/>
              <w:rPr>
                <w:rFonts w:ascii="Tahoma" w:hAnsi="Tahoma" w:cs="Tahoma"/>
                <w:sz w:val="20"/>
                <w:szCs w:val="20"/>
              </w:rPr>
            </w:pPr>
            <w:r w:rsidRPr="009E16F3">
              <w:rPr>
                <w:rFonts w:ascii="Tahoma" w:hAnsi="Tahoma" w:cs="Tahoma"/>
                <w:color w:val="00B050"/>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612CC0" w:rsidRPr="009F4C37" w:rsidRDefault="00612CC0" w:rsidP="00612CC0">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612CC0" w:rsidRPr="009E16F3" w:rsidRDefault="00612CC0" w:rsidP="00612CC0">
            <w:pPr>
              <w:contextualSpacing/>
              <w:jc w:val="both"/>
              <w:rPr>
                <w:rFonts w:ascii="Tahoma" w:hAnsi="Tahoma" w:cs="Tahoma"/>
                <w:color w:val="00B050"/>
                <w:sz w:val="20"/>
                <w:szCs w:val="20"/>
              </w:rPr>
            </w:pPr>
            <w:r w:rsidRPr="002C334E">
              <w:rPr>
                <w:rFonts w:ascii="Tahoma" w:hAnsi="Tahoma" w:cs="Tahoma"/>
                <w:color w:val="FF0000"/>
                <w:sz w:val="20"/>
                <w:szCs w:val="20"/>
              </w:rPr>
              <w:t xml:space="preserve">      </w:t>
            </w:r>
            <w:r w:rsidRPr="009E16F3">
              <w:rPr>
                <w:rFonts w:ascii="Tahoma" w:hAnsi="Tahoma" w:cs="Tahoma"/>
                <w:color w:val="00B050"/>
                <w:sz w:val="20"/>
                <w:szCs w:val="20"/>
              </w:rPr>
              <w:t>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612CC0" w:rsidRPr="009E16F3" w:rsidRDefault="00612CC0" w:rsidP="00612CC0">
            <w:pPr>
              <w:contextualSpacing/>
              <w:jc w:val="both"/>
              <w:rPr>
                <w:rFonts w:ascii="Tahoma" w:hAnsi="Tahoma" w:cs="Tahoma"/>
                <w:color w:val="00B050"/>
                <w:sz w:val="20"/>
                <w:szCs w:val="20"/>
              </w:rPr>
            </w:pPr>
            <w:r w:rsidRPr="009E16F3">
              <w:rPr>
                <w:rFonts w:ascii="Tahoma" w:hAnsi="Tahoma" w:cs="Tahoma"/>
                <w:color w:val="00B050"/>
                <w:sz w:val="20"/>
                <w:szCs w:val="20"/>
              </w:rPr>
              <w:t>Общий срок выполнения работ:</w:t>
            </w:r>
          </w:p>
          <w:p w:rsidR="00612CC0" w:rsidRPr="009E16F3" w:rsidRDefault="00612CC0" w:rsidP="00612CC0">
            <w:pPr>
              <w:contextualSpacing/>
              <w:jc w:val="both"/>
              <w:rPr>
                <w:rFonts w:ascii="Tahoma" w:hAnsi="Tahoma" w:cs="Tahoma"/>
                <w:color w:val="00B050"/>
                <w:sz w:val="20"/>
                <w:szCs w:val="20"/>
              </w:rPr>
            </w:pPr>
            <w:r w:rsidRPr="009E16F3">
              <w:rPr>
                <w:rFonts w:ascii="Tahoma" w:hAnsi="Tahoma" w:cs="Tahoma"/>
                <w:color w:val="00B050"/>
                <w:sz w:val="20"/>
                <w:szCs w:val="20"/>
              </w:rPr>
              <w:t xml:space="preserve">     Начало выполнения работ - не позднее 3 (трех) рабочих дней с момента заключения Сторонами Договора. </w:t>
            </w:r>
          </w:p>
          <w:p w:rsidR="00612CC0" w:rsidRPr="009E16F3" w:rsidRDefault="00612CC0" w:rsidP="00612CC0">
            <w:pPr>
              <w:contextualSpacing/>
              <w:jc w:val="both"/>
              <w:rPr>
                <w:rFonts w:ascii="Tahoma" w:hAnsi="Tahoma" w:cs="Tahoma"/>
                <w:color w:val="00B050"/>
                <w:sz w:val="20"/>
                <w:szCs w:val="20"/>
              </w:rPr>
            </w:pPr>
            <w:r w:rsidRPr="009E16F3">
              <w:rPr>
                <w:rFonts w:ascii="Tahoma" w:hAnsi="Tahoma" w:cs="Tahoma"/>
                <w:color w:val="00B050"/>
                <w:sz w:val="20"/>
                <w:szCs w:val="20"/>
              </w:rPr>
              <w:t xml:space="preserve">     Окончание выполнения работ – не позднее «30» ноября 2023 г.</w:t>
            </w:r>
          </w:p>
          <w:p w:rsidR="00612CC0" w:rsidRPr="009F4C37" w:rsidRDefault="00612CC0" w:rsidP="00612CC0">
            <w:pPr>
              <w:contextualSpacing/>
              <w:jc w:val="both"/>
              <w:rPr>
                <w:rFonts w:ascii="Tahoma" w:hAnsi="Tahoma" w:cs="Tahoma"/>
                <w:sz w:val="20"/>
                <w:szCs w:val="20"/>
              </w:rPr>
            </w:pPr>
            <w:r w:rsidRPr="009E16F3">
              <w:rPr>
                <w:rFonts w:ascii="Tahoma" w:hAnsi="Tahoma" w:cs="Tahoma"/>
                <w:color w:val="00B050"/>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612CC0" w:rsidRPr="005E151E" w:rsidRDefault="00612CC0" w:rsidP="00612CC0">
            <w:pPr>
              <w:jc w:val="center"/>
              <w:rPr>
                <w:rFonts w:ascii="Tahoma" w:eastAsia="Times New Roman" w:hAnsi="Tahoma" w:cs="Tahoma"/>
                <w:sz w:val="20"/>
                <w:szCs w:val="20"/>
              </w:rPr>
            </w:pPr>
          </w:p>
        </w:tc>
        <w:tc>
          <w:tcPr>
            <w:tcW w:w="7513" w:type="dxa"/>
            <w:vAlign w:val="center"/>
          </w:tcPr>
          <w:p w:rsidR="00612CC0" w:rsidRPr="005527EA" w:rsidRDefault="00612CC0" w:rsidP="00612CC0">
            <w:pPr>
              <w:contextualSpacing/>
              <w:jc w:val="both"/>
              <w:rPr>
                <w:rFonts w:ascii="Tahoma" w:hAnsi="Tahoma" w:cs="Tahoma"/>
                <w:sz w:val="20"/>
                <w:szCs w:val="20"/>
              </w:rPr>
            </w:pPr>
            <w:r w:rsidRPr="005527EA">
              <w:rPr>
                <w:rFonts w:ascii="Tahoma" w:hAnsi="Tahoma" w:cs="Tahoma"/>
                <w:sz w:val="20"/>
                <w:szCs w:val="20"/>
              </w:rPr>
              <w:t xml:space="preserve">      Выполнение работ по перепрограммированию </w:t>
            </w:r>
            <w:r>
              <w:rPr>
                <w:rFonts w:ascii="Tahoma" w:hAnsi="Tahoma" w:cs="Tahoma"/>
                <w:sz w:val="20"/>
                <w:szCs w:val="20"/>
              </w:rPr>
              <w:t xml:space="preserve">ПУ </w:t>
            </w:r>
            <w:r w:rsidRPr="005527EA">
              <w:rPr>
                <w:rFonts w:ascii="Tahoma" w:hAnsi="Tahoma" w:cs="Tahoma"/>
                <w:sz w:val="20"/>
                <w:szCs w:val="20"/>
              </w:rPr>
              <w:t>производится на объектах в соответствии</w:t>
            </w:r>
            <w:r>
              <w:rPr>
                <w:rFonts w:ascii="Tahoma" w:hAnsi="Tahoma" w:cs="Tahoma"/>
                <w:sz w:val="20"/>
                <w:szCs w:val="20"/>
              </w:rPr>
              <w:t xml:space="preserve"> с Заявками на</w:t>
            </w:r>
            <w:r w:rsidRPr="005527EA">
              <w:rPr>
                <w:rFonts w:ascii="Tahoma" w:hAnsi="Tahoma" w:cs="Tahoma"/>
                <w:sz w:val="20"/>
                <w:szCs w:val="20"/>
              </w:rPr>
              <w:t xml:space="preserve"> </w:t>
            </w:r>
            <w:r w:rsidRPr="000E7CB5">
              <w:rPr>
                <w:rFonts w:ascii="Tahoma" w:hAnsi="Tahoma" w:cs="Tahoma"/>
                <w:sz w:val="20"/>
                <w:szCs w:val="20"/>
              </w:rPr>
              <w:t>выполнение работ (Приложение №3 к Договору)</w:t>
            </w:r>
            <w:r>
              <w:rPr>
                <w:rFonts w:ascii="Tahoma" w:hAnsi="Tahoma" w:cs="Tahoma"/>
                <w:sz w:val="20"/>
                <w:szCs w:val="20"/>
              </w:rPr>
              <w:t>.</w:t>
            </w:r>
          </w:p>
          <w:p w:rsidR="00612CC0" w:rsidRDefault="00612CC0" w:rsidP="00612CC0">
            <w:pPr>
              <w:contextualSpacing/>
              <w:jc w:val="both"/>
              <w:rPr>
                <w:rFonts w:ascii="Tahoma" w:hAnsi="Tahoma" w:cs="Tahoma"/>
                <w:sz w:val="20"/>
                <w:szCs w:val="20"/>
              </w:rPr>
            </w:pPr>
            <w:r w:rsidRPr="005527EA">
              <w:rPr>
                <w:rFonts w:ascii="Tahoma" w:hAnsi="Tahoma" w:cs="Tahoma"/>
                <w:sz w:val="20"/>
                <w:szCs w:val="20"/>
              </w:rPr>
              <w:t xml:space="preserve">      </w:t>
            </w:r>
            <w:r w:rsidRPr="00C06670">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 xml:space="preserve">Работ </w:t>
            </w:r>
            <w:r w:rsidRPr="00C06670">
              <w:rPr>
                <w:rFonts w:ascii="Tahoma" w:hAnsi="Tahoma" w:cs="Tahoma"/>
                <w:sz w:val="20"/>
                <w:szCs w:val="20"/>
              </w:rPr>
              <w:t>в объеме ниже максимального значения стоимости договора</w:t>
            </w:r>
            <w:r>
              <w:rPr>
                <w:rFonts w:ascii="Tahoma" w:hAnsi="Tahoma" w:cs="Tahoma"/>
                <w:sz w:val="20"/>
                <w:szCs w:val="20"/>
              </w:rPr>
              <w:t>.</w:t>
            </w:r>
          </w:p>
          <w:p w:rsidR="00612CC0" w:rsidRPr="005527EA" w:rsidRDefault="00612CC0" w:rsidP="00612CC0">
            <w:pPr>
              <w:contextualSpacing/>
              <w:jc w:val="both"/>
              <w:rPr>
                <w:rFonts w:ascii="Tahoma" w:hAnsi="Tahoma" w:cs="Tahoma"/>
                <w:sz w:val="20"/>
                <w:szCs w:val="20"/>
              </w:rPr>
            </w:pPr>
            <w:r w:rsidRPr="005527EA">
              <w:rPr>
                <w:rFonts w:ascii="Tahoma" w:hAnsi="Tahoma" w:cs="Tahoma"/>
                <w:sz w:val="20"/>
                <w:szCs w:val="20"/>
              </w:rPr>
              <w:t xml:space="preserve">       Работы выполняются с использованием оборудования</w:t>
            </w:r>
            <w:r>
              <w:rPr>
                <w:rFonts w:ascii="Tahoma" w:hAnsi="Tahoma" w:cs="Tahoma"/>
                <w:sz w:val="20"/>
                <w:szCs w:val="20"/>
              </w:rPr>
              <w:t>, устройств сопряжения с ПУ, программного обеспечения</w:t>
            </w:r>
            <w:r w:rsidRPr="005527EA">
              <w:rPr>
                <w:rFonts w:ascii="Tahoma" w:hAnsi="Tahoma" w:cs="Tahoma"/>
                <w:sz w:val="20"/>
                <w:szCs w:val="20"/>
              </w:rPr>
              <w:t xml:space="preserve"> и материалов Подрядчика.</w:t>
            </w:r>
          </w:p>
          <w:p w:rsidR="00612CC0" w:rsidRPr="005527EA" w:rsidRDefault="00612CC0" w:rsidP="00612CC0">
            <w:pPr>
              <w:contextualSpacing/>
              <w:jc w:val="both"/>
              <w:rPr>
                <w:rFonts w:ascii="Tahoma" w:hAnsi="Tahoma" w:cs="Tahoma"/>
                <w:sz w:val="20"/>
                <w:szCs w:val="20"/>
              </w:rPr>
            </w:pPr>
            <w:r w:rsidRPr="005527EA">
              <w:rPr>
                <w:rFonts w:ascii="Tahoma" w:hAnsi="Tahoma" w:cs="Tahoma"/>
                <w:sz w:val="20"/>
                <w:szCs w:val="20"/>
              </w:rPr>
              <w:t xml:space="preserve">      До начала работ на объекте Подрядчик проводит визуальное обследование</w:t>
            </w:r>
            <w:r>
              <w:rPr>
                <w:rFonts w:ascii="Tahoma" w:hAnsi="Tahoma" w:cs="Tahoma"/>
                <w:sz w:val="20"/>
                <w:szCs w:val="20"/>
              </w:rPr>
              <w:t xml:space="preserve"> ПУ</w:t>
            </w:r>
            <w:r w:rsidRPr="005527EA">
              <w:rPr>
                <w:rFonts w:ascii="Tahoma" w:hAnsi="Tahoma" w:cs="Tahoma"/>
                <w:sz w:val="20"/>
                <w:szCs w:val="20"/>
              </w:rPr>
              <w:t xml:space="preserve"> на предмет подтверждения непригодности существующего</w:t>
            </w:r>
            <w:r>
              <w:rPr>
                <w:rFonts w:ascii="Tahoma" w:hAnsi="Tahoma" w:cs="Tahoma"/>
                <w:sz w:val="20"/>
                <w:szCs w:val="20"/>
              </w:rPr>
              <w:t xml:space="preserve"> ПУ </w:t>
            </w:r>
            <w:r w:rsidRPr="005527EA">
              <w:rPr>
                <w:rFonts w:ascii="Tahoma" w:hAnsi="Tahoma" w:cs="Tahoma"/>
                <w:sz w:val="20"/>
                <w:szCs w:val="20"/>
              </w:rPr>
              <w:t>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В случае если Подрядчиком определено отсутствие технической возможности </w:t>
            </w:r>
            <w:r>
              <w:rPr>
                <w:rFonts w:ascii="Tahoma" w:hAnsi="Tahoma" w:cs="Tahoma"/>
                <w:sz w:val="20"/>
                <w:szCs w:val="20"/>
              </w:rPr>
              <w:t xml:space="preserve">перепрограммирования ПУ на </w:t>
            </w:r>
            <w:r w:rsidRPr="005E151E">
              <w:rPr>
                <w:rFonts w:ascii="Tahoma" w:hAnsi="Tahoma" w:cs="Tahoma"/>
                <w:sz w:val="20"/>
                <w:szCs w:val="20"/>
              </w:rPr>
              <w:t xml:space="preserve">объекте </w:t>
            </w:r>
            <w:r>
              <w:rPr>
                <w:rFonts w:ascii="Tahoma" w:hAnsi="Tahoma" w:cs="Tahoma"/>
                <w:sz w:val="20"/>
                <w:szCs w:val="20"/>
              </w:rPr>
              <w:t>п</w:t>
            </w:r>
            <w:r w:rsidRPr="005E151E">
              <w:rPr>
                <w:rFonts w:ascii="Tahoma" w:hAnsi="Tahoma" w:cs="Tahoma"/>
                <w:sz w:val="20"/>
                <w:szCs w:val="20"/>
              </w:rPr>
              <w:t xml:space="preserve">одрядчик обязан произвести фотофиксацию и уведомить Заказчика путем оформления акта обследования </w:t>
            </w:r>
            <w:r>
              <w:rPr>
                <w:rFonts w:ascii="Tahoma" w:hAnsi="Tahoma" w:cs="Tahoma"/>
                <w:sz w:val="20"/>
                <w:szCs w:val="20"/>
              </w:rPr>
              <w:t xml:space="preserve">с указанием причин </w:t>
            </w:r>
            <w:r w:rsidRPr="005E151E">
              <w:rPr>
                <w:rFonts w:ascii="Tahoma" w:hAnsi="Tahoma" w:cs="Tahoma"/>
                <w:sz w:val="20"/>
                <w:szCs w:val="20"/>
              </w:rPr>
              <w:t xml:space="preserve">отсутствия технической возможности </w:t>
            </w:r>
            <w:r>
              <w:rPr>
                <w:rFonts w:ascii="Tahoma" w:hAnsi="Tahoma" w:cs="Tahoma"/>
                <w:sz w:val="20"/>
                <w:szCs w:val="20"/>
              </w:rPr>
              <w:t>перепрограммирования ПУ</w:t>
            </w:r>
            <w:r w:rsidRPr="005E151E">
              <w:rPr>
                <w:rFonts w:ascii="Tahoma" w:hAnsi="Tahoma" w:cs="Tahoma"/>
                <w:sz w:val="20"/>
                <w:szCs w:val="20"/>
              </w:rPr>
              <w:t xml:space="preserve">. Заказчик вправе заменить в </w:t>
            </w:r>
            <w:r>
              <w:rPr>
                <w:rFonts w:ascii="Tahoma" w:hAnsi="Tahoma" w:cs="Tahoma"/>
                <w:sz w:val="20"/>
                <w:szCs w:val="20"/>
              </w:rPr>
              <w:t>Заявке</w:t>
            </w:r>
            <w:r w:rsidRPr="005E151E">
              <w:rPr>
                <w:rFonts w:ascii="Tahoma" w:hAnsi="Tahoma" w:cs="Tahoma"/>
                <w:sz w:val="20"/>
                <w:szCs w:val="20"/>
              </w:rPr>
              <w:t xml:space="preserve"> </w:t>
            </w:r>
            <w:r w:rsidRPr="000E7CB5">
              <w:rPr>
                <w:rFonts w:ascii="Tahoma" w:hAnsi="Tahoma" w:cs="Tahoma"/>
                <w:sz w:val="20"/>
                <w:szCs w:val="20"/>
              </w:rPr>
              <w:t>на выполнение работ (Приложение №3 к Договору)</w:t>
            </w:r>
            <w:r>
              <w:rPr>
                <w:rFonts w:ascii="Tahoma" w:hAnsi="Tahoma" w:cs="Tahoma"/>
                <w:sz w:val="20"/>
                <w:szCs w:val="20"/>
              </w:rPr>
              <w:t xml:space="preserve"> данный ПУ на иной</w:t>
            </w:r>
            <w:r w:rsidRPr="005E151E">
              <w:rPr>
                <w:rFonts w:ascii="Tahoma" w:hAnsi="Tahoma" w:cs="Tahoma"/>
                <w:sz w:val="20"/>
                <w:szCs w:val="20"/>
              </w:rPr>
              <w:t>.</w:t>
            </w:r>
          </w:p>
          <w:p w:rsidR="00612CC0" w:rsidRPr="005E151E" w:rsidRDefault="00612CC0" w:rsidP="00612CC0">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w:t>
            </w:r>
            <w:r>
              <w:rPr>
                <w:rFonts w:ascii="Tahoma" w:hAnsi="Tahoma" w:cs="Tahoma"/>
                <w:sz w:val="20"/>
                <w:szCs w:val="20"/>
              </w:rPr>
              <w:t>и проживание рабочих и специалистов на объект,</w:t>
            </w:r>
            <w:r w:rsidRPr="005E151E">
              <w:rPr>
                <w:rFonts w:ascii="Tahoma" w:hAnsi="Tahoma" w:cs="Tahoma"/>
                <w:sz w:val="20"/>
                <w:szCs w:val="20"/>
              </w:rPr>
              <w:t xml:space="preserve"> их проживание в течение необходимого для проведения Работ времени, экспертизой при приемке работ (в случае необходимости</w:t>
            </w:r>
            <w:r>
              <w:rPr>
                <w:rFonts w:ascii="Tahoma" w:hAnsi="Tahoma" w:cs="Tahoma"/>
                <w:sz w:val="20"/>
                <w:szCs w:val="20"/>
              </w:rPr>
              <w:t>)</w:t>
            </w:r>
            <w:r w:rsidRPr="005E151E">
              <w:rPr>
                <w:rFonts w:ascii="Tahoma" w:hAnsi="Tahoma" w:cs="Tahoma"/>
                <w:sz w:val="20"/>
                <w:szCs w:val="20"/>
              </w:rPr>
              <w:t xml:space="preserve"> производятся за счёт Подрядчика и отдельной оплате не подлежат.</w:t>
            </w:r>
          </w:p>
          <w:p w:rsidR="00612CC0" w:rsidRPr="005E151E" w:rsidRDefault="00612CC0" w:rsidP="00612CC0">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612CC0" w:rsidRPr="005E151E" w:rsidRDefault="00612CC0" w:rsidP="00612CC0">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612CC0" w:rsidRPr="005E151E" w:rsidRDefault="00612CC0" w:rsidP="00612CC0">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612CC0" w:rsidRPr="005E151E" w:rsidRDefault="00612CC0" w:rsidP="00612CC0">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612CC0" w:rsidRPr="005E151E" w:rsidRDefault="00612CC0" w:rsidP="00612CC0">
            <w:pPr>
              <w:ind w:left="131"/>
              <w:contextualSpacing/>
              <w:jc w:val="both"/>
              <w:rPr>
                <w:rFonts w:ascii="Tahoma" w:hAnsi="Tahoma" w:cs="Tahoma"/>
                <w:sz w:val="20"/>
                <w:szCs w:val="20"/>
              </w:rPr>
            </w:pPr>
            <w:r w:rsidRPr="005E151E">
              <w:rPr>
                <w:rFonts w:ascii="Tahoma" w:hAnsi="Tahoma" w:cs="Tahoma"/>
                <w:sz w:val="20"/>
                <w:szCs w:val="20"/>
              </w:rPr>
              <w:t xml:space="preserve">- за повреждение им электрических приборов электрического </w:t>
            </w:r>
            <w:r>
              <w:rPr>
                <w:rFonts w:ascii="Tahoma" w:hAnsi="Tahoma" w:cs="Tahoma"/>
                <w:sz w:val="20"/>
                <w:szCs w:val="20"/>
              </w:rPr>
              <w:t>о</w:t>
            </w:r>
            <w:r w:rsidRPr="005E151E">
              <w:rPr>
                <w:rFonts w:ascii="Tahoma" w:hAnsi="Tahoma" w:cs="Tahoma"/>
                <w:sz w:val="20"/>
                <w:szCs w:val="20"/>
              </w:rPr>
              <w:t>борудования и электросети на месте выполнения работ, Подрядчик принимает меры по их восстановлению за свой счет и в кратчайшие сроки;</w:t>
            </w:r>
          </w:p>
          <w:p w:rsidR="00612CC0" w:rsidRPr="005E151E" w:rsidRDefault="00612CC0" w:rsidP="00612CC0">
            <w:pPr>
              <w:ind w:left="131"/>
              <w:contextualSpacing/>
              <w:jc w:val="both"/>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612CC0" w:rsidRPr="005E151E" w:rsidRDefault="00612CC0" w:rsidP="00612CC0">
            <w:pPr>
              <w:contextualSpacing/>
              <w:jc w:val="both"/>
              <w:rPr>
                <w:rFonts w:ascii="Tahoma" w:eastAsia="Times New Roman"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612CC0" w:rsidRPr="005E151E" w:rsidRDefault="00612CC0" w:rsidP="00612CC0">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612CC0" w:rsidRPr="005E151E" w:rsidRDefault="00612CC0" w:rsidP="00612CC0">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612CC0" w:rsidRPr="005E151E" w:rsidRDefault="00612CC0" w:rsidP="00612CC0">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612CC0" w:rsidRPr="005D3188"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612CC0" w:rsidRPr="005E151E" w:rsidRDefault="00612CC0" w:rsidP="00612CC0">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612CC0" w:rsidRPr="005E151E" w:rsidRDefault="00612CC0" w:rsidP="00612CC0">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612CC0" w:rsidRPr="005E151E" w:rsidRDefault="00612CC0" w:rsidP="00612CC0">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612CC0" w:rsidRPr="005E151E" w:rsidRDefault="00612CC0" w:rsidP="00612CC0">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612CC0" w:rsidRPr="005E151E" w:rsidRDefault="00612CC0" w:rsidP="00612CC0">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612CC0" w:rsidRPr="005E151E" w:rsidRDefault="00612CC0" w:rsidP="00612CC0">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612CC0"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612CC0" w:rsidRPr="005E151E" w:rsidRDefault="00612CC0" w:rsidP="00612CC0">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612CC0" w:rsidRPr="005E151E" w:rsidRDefault="00612CC0" w:rsidP="00612CC0">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612CC0" w:rsidRPr="005E151E" w:rsidRDefault="00612CC0" w:rsidP="00612CC0">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612CC0" w:rsidRPr="005E151E" w:rsidRDefault="00612CC0" w:rsidP="00612CC0">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612CC0" w:rsidRPr="005E151E" w:rsidRDefault="00612CC0" w:rsidP="00612CC0">
            <w:pPr>
              <w:jc w:val="center"/>
              <w:rPr>
                <w:rFonts w:ascii="Tahoma" w:eastAsia="Times New Roman" w:hAnsi="Tahoma" w:cs="Tahoma"/>
                <w:sz w:val="20"/>
                <w:szCs w:val="20"/>
              </w:rPr>
            </w:pPr>
          </w:p>
        </w:tc>
        <w:tc>
          <w:tcPr>
            <w:tcW w:w="7513" w:type="dxa"/>
            <w:vAlign w:val="center"/>
          </w:tcPr>
          <w:p w:rsidR="00612CC0" w:rsidRPr="00154227" w:rsidRDefault="00612CC0" w:rsidP="00612CC0">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612CC0" w:rsidRPr="00154227" w:rsidRDefault="00612CC0" w:rsidP="00612CC0">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612CC0" w:rsidRDefault="00612CC0" w:rsidP="00612CC0">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612CC0" w:rsidRDefault="00612CC0" w:rsidP="00612CC0">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612CC0" w:rsidRPr="005E151E" w:rsidRDefault="00612CC0" w:rsidP="00612CC0">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612CC0" w:rsidRPr="005D1173" w:rsidRDefault="00612CC0" w:rsidP="00612CC0">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612CC0" w:rsidRPr="005E151E" w:rsidRDefault="00612CC0" w:rsidP="00612CC0">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612CC0"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612CC0" w:rsidRPr="005E151E" w:rsidRDefault="00612CC0" w:rsidP="00612CC0">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612CC0" w:rsidRPr="005E151E" w:rsidRDefault="00612CC0" w:rsidP="00612CC0">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612CC0" w:rsidRPr="005E151E" w:rsidRDefault="00612CC0" w:rsidP="00612CC0">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612CC0" w:rsidRPr="00501508" w:rsidRDefault="00612CC0" w:rsidP="00612CC0">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612CC0" w:rsidRPr="005E151E" w:rsidRDefault="00612CC0" w:rsidP="00612CC0">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612CC0" w:rsidRPr="005E151E" w:rsidRDefault="00612CC0" w:rsidP="00612CC0">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12CC0" w:rsidRPr="005E151E" w:rsidTr="001E411A">
        <w:tc>
          <w:tcPr>
            <w:tcW w:w="518" w:type="dxa"/>
            <w:vAlign w:val="center"/>
            <w:hideMark/>
          </w:tcPr>
          <w:p w:rsidR="00612CC0" w:rsidRPr="0032213C" w:rsidRDefault="00612CC0" w:rsidP="00612CC0">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612CC0" w:rsidRPr="00501508" w:rsidRDefault="00612CC0" w:rsidP="00612CC0">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612CC0" w:rsidRPr="0032213C" w:rsidRDefault="00612CC0" w:rsidP="00612CC0">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612CC0" w:rsidRPr="0032213C" w:rsidRDefault="00612CC0" w:rsidP="00612CC0">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612CC0" w:rsidRPr="0032213C" w:rsidRDefault="00612CC0" w:rsidP="00612CC0">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612CC0" w:rsidRPr="0032213C" w:rsidRDefault="00612CC0" w:rsidP="00612CC0">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612CC0" w:rsidRPr="005E151E" w:rsidRDefault="00612CC0" w:rsidP="00612CC0">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612CC0" w:rsidRPr="005E151E" w:rsidRDefault="00612CC0" w:rsidP="00612CC0">
            <w:pPr>
              <w:shd w:val="clear" w:color="auto" w:fill="FFFFFF"/>
              <w:jc w:val="center"/>
              <w:outlineLvl w:val="3"/>
              <w:rPr>
                <w:rFonts w:ascii="Tahoma" w:eastAsia="Times New Roman" w:hAnsi="Tahoma" w:cs="Tahoma"/>
                <w:sz w:val="20"/>
                <w:szCs w:val="20"/>
              </w:rPr>
            </w:pPr>
          </w:p>
        </w:tc>
        <w:tc>
          <w:tcPr>
            <w:tcW w:w="7513" w:type="dxa"/>
            <w:vAlign w:val="center"/>
            <w:hideMark/>
          </w:tcPr>
          <w:p w:rsidR="00612CC0" w:rsidRPr="005E151E" w:rsidRDefault="00612CC0" w:rsidP="00612CC0">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612CC0" w:rsidRPr="005E151E" w:rsidRDefault="00612CC0" w:rsidP="00612CC0">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612CC0" w:rsidRPr="00846C5F"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612CC0" w:rsidRPr="005E151E" w:rsidRDefault="00612CC0" w:rsidP="00612CC0">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612CC0" w:rsidRPr="0090281C" w:rsidRDefault="00612CC0" w:rsidP="00612CC0">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612CC0" w:rsidRPr="005E151E" w:rsidRDefault="00612CC0" w:rsidP="00612CC0">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612CC0" w:rsidRPr="005E151E" w:rsidTr="001E411A">
        <w:tc>
          <w:tcPr>
            <w:tcW w:w="518" w:type="dxa"/>
            <w:vAlign w:val="center"/>
            <w:hideMark/>
          </w:tcPr>
          <w:p w:rsidR="00612CC0" w:rsidRPr="005E151E" w:rsidRDefault="00612CC0" w:rsidP="00612CC0">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612CC0" w:rsidRPr="005E151E" w:rsidRDefault="00612CC0" w:rsidP="00612CC0">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612CC0" w:rsidRPr="005E151E" w:rsidRDefault="00612CC0" w:rsidP="00612CC0">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612CC0" w:rsidRPr="005E151E" w:rsidRDefault="00612CC0" w:rsidP="00612CC0">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Default="00BE719D" w:rsidP="00587B21">
      <w:pPr>
        <w:rPr>
          <w:rFonts w:eastAsia="Times New Roman" w:cs="Times New Roman"/>
        </w:rPr>
      </w:pPr>
    </w:p>
    <w:p w:rsidR="00DA3822" w:rsidRPr="00871EDA" w:rsidRDefault="00DA3822"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5" w:name="_MON_1678775829"/>
      <w:bookmarkEnd w:id="5"/>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BB5D25"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BB5D25"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455BB4" w:rsidRDefault="00455BB4" w:rsidP="00F228B6">
      <w:pPr>
        <w:rPr>
          <w:lang w:eastAsia="ru-RU"/>
        </w:rPr>
      </w:pPr>
    </w:p>
    <w:p w:rsidR="00455BB4" w:rsidRDefault="00455BB4" w:rsidP="00F228B6">
      <w:pPr>
        <w:rPr>
          <w:lang w:eastAsia="ru-RU"/>
        </w:rPr>
      </w:pPr>
    </w:p>
    <w:p w:rsidR="00455BB4" w:rsidRDefault="00455BB4"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lastRenderedPageBreak/>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104"/>
        <w:gridCol w:w="719"/>
        <w:gridCol w:w="314"/>
        <w:gridCol w:w="614"/>
        <w:gridCol w:w="105"/>
        <w:gridCol w:w="405"/>
        <w:gridCol w:w="523"/>
        <w:gridCol w:w="91"/>
        <w:gridCol w:w="314"/>
        <w:gridCol w:w="105"/>
        <w:gridCol w:w="104"/>
        <w:gridCol w:w="615"/>
        <w:gridCol w:w="103"/>
        <w:gridCol w:w="314"/>
        <w:gridCol w:w="196"/>
        <w:gridCol w:w="314"/>
        <w:gridCol w:w="614"/>
        <w:gridCol w:w="1033"/>
        <w:gridCol w:w="104"/>
        <w:gridCol w:w="300"/>
        <w:gridCol w:w="525"/>
        <w:gridCol w:w="405"/>
        <w:gridCol w:w="523"/>
        <w:gridCol w:w="406"/>
        <w:gridCol w:w="927"/>
      </w:tblGrid>
      <w:tr w:rsidR="00F77DBC" w:rsidRPr="00F77DBC" w:rsidTr="00F77DBC">
        <w:trPr>
          <w:trHeight w:val="130"/>
        </w:trPr>
        <w:tc>
          <w:tcPr>
            <w:tcW w:w="8850" w:type="dxa"/>
            <w:gridSpan w:val="24"/>
          </w:tcPr>
          <w:p w:rsidR="00F77DBC" w:rsidRPr="00F77DBC" w:rsidRDefault="00F77DBC" w:rsidP="00F77DBC">
            <w:pPr>
              <w:spacing w:after="160" w:line="259" w:lineRule="auto"/>
            </w:pPr>
          </w:p>
        </w:tc>
        <w:tc>
          <w:tcPr>
            <w:tcW w:w="927" w:type="dxa"/>
            <w:vMerge w:val="restart"/>
          </w:tcPr>
          <w:p w:rsidR="00F77DBC" w:rsidRPr="00F77DBC" w:rsidRDefault="00F77DBC" w:rsidP="00F77DBC">
            <w:pPr>
              <w:spacing w:after="160" w:line="259" w:lineRule="auto"/>
              <w:jc w:val="center"/>
            </w:pPr>
            <w:r w:rsidRPr="00F77DBC">
              <w:rPr>
                <w:noProof/>
                <w:lang w:eastAsia="ru-RU"/>
              </w:rPr>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r w:rsidR="00F77DBC" w:rsidRPr="00F77DBC" w:rsidTr="00F77DBC">
        <w:trPr>
          <w:trHeight w:val="249"/>
        </w:trPr>
        <w:tc>
          <w:tcPr>
            <w:tcW w:w="3294" w:type="dxa"/>
            <w:gridSpan w:val="10"/>
          </w:tcPr>
          <w:p w:rsidR="00F77DBC" w:rsidRPr="00F77DBC" w:rsidRDefault="00F77DBC" w:rsidP="00F77DBC">
            <w:pPr>
              <w:spacing w:after="160" w:line="259" w:lineRule="auto"/>
            </w:pPr>
          </w:p>
        </w:tc>
        <w:tc>
          <w:tcPr>
            <w:tcW w:w="822" w:type="dxa"/>
            <w:gridSpan w:val="3"/>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 xml:space="preserve">Акт № </w:t>
            </w:r>
          </w:p>
        </w:tc>
        <w:tc>
          <w:tcPr>
            <w:tcW w:w="2875" w:type="dxa"/>
            <w:gridSpan w:val="7"/>
            <w:tcBorders>
              <w:bottom w:val="single" w:sz="5" w:space="0" w:color="000000"/>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___________________</w:t>
            </w:r>
          </w:p>
        </w:tc>
        <w:tc>
          <w:tcPr>
            <w:tcW w:w="1856" w:type="dxa"/>
            <w:gridSpan w:val="4"/>
          </w:tcPr>
          <w:p w:rsidR="00F77DBC" w:rsidRPr="00F77DBC" w:rsidRDefault="00F77DBC" w:rsidP="00F77DBC">
            <w:pPr>
              <w:spacing w:after="160" w:line="259" w:lineRule="auto"/>
            </w:pPr>
          </w:p>
        </w:tc>
        <w:tc>
          <w:tcPr>
            <w:tcW w:w="927" w:type="dxa"/>
            <w:vMerge/>
          </w:tcPr>
          <w:p w:rsidR="00F77DBC" w:rsidRPr="00F77DBC" w:rsidRDefault="00F77DBC" w:rsidP="00F77DBC">
            <w:pPr>
              <w:spacing w:after="160" w:line="259" w:lineRule="auto"/>
            </w:pPr>
          </w:p>
        </w:tc>
      </w:tr>
      <w:tr w:rsidR="00F77DBC" w:rsidRPr="00F77DBC" w:rsidTr="00F77DBC">
        <w:trPr>
          <w:trHeight w:val="457"/>
        </w:trPr>
        <w:tc>
          <w:tcPr>
            <w:tcW w:w="1856" w:type="dxa"/>
            <w:gridSpan w:val="5"/>
          </w:tcPr>
          <w:p w:rsidR="00F77DBC" w:rsidRPr="00F77DBC" w:rsidRDefault="00F77DBC" w:rsidP="00F77DBC">
            <w:pPr>
              <w:spacing w:after="160" w:line="259" w:lineRule="auto"/>
            </w:pPr>
          </w:p>
        </w:tc>
        <w:tc>
          <w:tcPr>
            <w:tcW w:w="6588" w:type="dxa"/>
            <w:gridSpan w:val="18"/>
            <w:shd w:val="clear" w:color="auto" w:fill="auto"/>
          </w:tcPr>
          <w:p w:rsidR="00F77DBC" w:rsidRPr="00F77DBC" w:rsidRDefault="00F77DBC" w:rsidP="00F77DBC">
            <w:pPr>
              <w:spacing w:after="160" w:line="232" w:lineRule="auto"/>
              <w:jc w:val="center"/>
              <w:rPr>
                <w:rFonts w:ascii="Tahoma" w:eastAsia="Tahoma" w:hAnsi="Tahoma" w:cs="Tahoma"/>
                <w:b/>
                <w:color w:val="000000"/>
                <w:spacing w:val="-2"/>
              </w:rPr>
            </w:pPr>
            <w:r w:rsidRPr="00F77DBC">
              <w:rPr>
                <w:rFonts w:ascii="Tahoma" w:eastAsia="Tahoma" w:hAnsi="Tahoma" w:cs="Tahoma"/>
                <w:b/>
                <w:color w:val="000000"/>
                <w:spacing w:val="-2"/>
              </w:rPr>
              <w:t>проверки прибора учета электрической энергии</w:t>
            </w:r>
          </w:p>
        </w:tc>
        <w:tc>
          <w:tcPr>
            <w:tcW w:w="405" w:type="dxa"/>
          </w:tcPr>
          <w:p w:rsidR="00F77DBC" w:rsidRPr="00F77DBC" w:rsidRDefault="00F77DBC" w:rsidP="00F77DBC">
            <w:pPr>
              <w:spacing w:after="160" w:line="259" w:lineRule="auto"/>
            </w:pPr>
          </w:p>
        </w:tc>
        <w:tc>
          <w:tcPr>
            <w:tcW w:w="927" w:type="dxa"/>
            <w:vMerge/>
          </w:tcPr>
          <w:p w:rsidR="00F77DBC" w:rsidRPr="00F77DBC" w:rsidRDefault="00F77DBC" w:rsidP="00F77DBC">
            <w:pPr>
              <w:spacing w:after="160" w:line="259" w:lineRule="auto"/>
            </w:pPr>
          </w:p>
        </w:tc>
      </w:tr>
      <w:tr w:rsidR="00F77DBC" w:rsidRPr="00F77DBC" w:rsidTr="00F77DBC">
        <w:trPr>
          <w:trHeight w:val="229"/>
        </w:trPr>
        <w:tc>
          <w:tcPr>
            <w:tcW w:w="3189" w:type="dxa"/>
            <w:gridSpan w:val="9"/>
          </w:tcPr>
          <w:p w:rsidR="00F77DBC" w:rsidRPr="00F77DBC" w:rsidRDefault="00F77DBC" w:rsidP="00F77DBC">
            <w:pPr>
              <w:spacing w:after="160" w:line="259" w:lineRule="auto"/>
            </w:pPr>
          </w:p>
        </w:tc>
        <w:tc>
          <w:tcPr>
            <w:tcW w:w="927" w:type="dxa"/>
            <w:gridSpan w:val="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Составлен:</w:t>
            </w:r>
          </w:p>
        </w:tc>
        <w:tc>
          <w:tcPr>
            <w:tcW w:w="3804" w:type="dxa"/>
            <w:gridSpan w:val="9"/>
            <w:shd w:val="clear" w:color="auto" w:fill="auto"/>
            <w:vAlign w:val="bottom"/>
          </w:tcPr>
          <w:p w:rsidR="00F77DBC" w:rsidRPr="00F77DBC" w:rsidRDefault="00F77DBC" w:rsidP="00AF5C86">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«___»__________ 202</w:t>
            </w:r>
            <w:r w:rsidR="00AF5C86">
              <w:rPr>
                <w:rFonts w:ascii="Tahoma" w:eastAsia="Tahoma" w:hAnsi="Tahoma" w:cs="Tahoma"/>
                <w:color w:val="000000"/>
                <w:spacing w:val="-2"/>
                <w:sz w:val="18"/>
              </w:rPr>
              <w:t>3</w:t>
            </w:r>
            <w:r w:rsidRPr="00F77DBC">
              <w:rPr>
                <w:rFonts w:ascii="Tahoma" w:eastAsia="Tahoma" w:hAnsi="Tahoma" w:cs="Tahoma"/>
                <w:color w:val="000000"/>
                <w:spacing w:val="-2"/>
                <w:sz w:val="18"/>
              </w:rPr>
              <w:t xml:space="preserve"> г. время: __ часов __минут</w:t>
            </w:r>
          </w:p>
        </w:tc>
        <w:tc>
          <w:tcPr>
            <w:tcW w:w="1855" w:type="dxa"/>
            <w:gridSpan w:val="3"/>
          </w:tcPr>
          <w:p w:rsidR="00F77DBC" w:rsidRPr="00F77DBC" w:rsidRDefault="00F77DBC" w:rsidP="00F77DBC">
            <w:pPr>
              <w:spacing w:after="160" w:line="259" w:lineRule="auto"/>
            </w:pPr>
          </w:p>
        </w:tc>
      </w:tr>
      <w:tr w:rsidR="00F77DBC" w:rsidRPr="00F77DBC" w:rsidTr="00F77DBC">
        <w:trPr>
          <w:trHeight w:val="297"/>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Представителем энергосбытовой организации</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АО "ЭнергосбыТ Плюс"</w:t>
            </w: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энергосбытовой компании)</w:t>
            </w:r>
          </w:p>
        </w:tc>
      </w:tr>
      <w:tr w:rsidR="00F77DBC" w:rsidRPr="00F77DBC" w:rsidTr="00F77DBC">
        <w:trPr>
          <w:trHeight w:val="36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В присутствии Потребителя¹ (представителя)</w:t>
            </w:r>
          </w:p>
        </w:tc>
        <w:tc>
          <w:tcPr>
            <w:tcW w:w="3908" w:type="dxa"/>
            <w:gridSpan w:val="10"/>
            <w:vMerge w:val="restart"/>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1855" w:type="dxa"/>
            <w:gridSpan w:val="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3"/>
        </w:trPr>
        <w:tc>
          <w:tcPr>
            <w:tcW w:w="4013" w:type="dxa"/>
            <w:gridSpan w:val="12"/>
          </w:tcPr>
          <w:p w:rsidR="00F77DBC" w:rsidRPr="00F77DBC" w:rsidRDefault="00F77DBC" w:rsidP="00F77DBC">
            <w:pPr>
              <w:spacing w:after="160" w:line="259" w:lineRule="auto"/>
            </w:pPr>
          </w:p>
        </w:tc>
        <w:tc>
          <w:tcPr>
            <w:tcW w:w="3908" w:type="dxa"/>
            <w:gridSpan w:val="10"/>
            <w:vMerge/>
            <w:tcBorders>
              <w:bottom w:val="single" w:sz="5" w:space="0" w:color="000000"/>
            </w:tcBorders>
            <w:shd w:val="clear" w:color="auto" w:fill="auto"/>
            <w:vAlign w:val="bottom"/>
          </w:tcPr>
          <w:p w:rsidR="00F77DBC" w:rsidRPr="00F77DBC" w:rsidRDefault="00F77DBC" w:rsidP="00F77DBC">
            <w:pPr>
              <w:spacing w:after="160" w:line="259" w:lineRule="auto"/>
            </w:pPr>
          </w:p>
        </w:tc>
        <w:tc>
          <w:tcPr>
            <w:tcW w:w="1855" w:type="dxa"/>
            <w:gridSpan w:val="3"/>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3908" w:type="dxa"/>
            <w:gridSpan w:val="10"/>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(Фамилия Имя Отчество)</w:t>
            </w:r>
          </w:p>
        </w:tc>
        <w:tc>
          <w:tcPr>
            <w:tcW w:w="1855" w:type="dxa"/>
            <w:gridSpan w:val="3"/>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(контактный телефон)</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Представителя исполнителя коммунальных услуг</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ЖКХ, ТСЖ, УК)</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3908" w:type="dxa"/>
            <w:gridSpan w:val="11"/>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Представителя сетевой организации</w:t>
            </w:r>
          </w:p>
        </w:tc>
        <w:tc>
          <w:tcPr>
            <w:tcW w:w="5764" w:type="dxa"/>
            <w:gridSpan w:val="1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4013" w:type="dxa"/>
            <w:gridSpan w:val="12"/>
          </w:tcPr>
          <w:p w:rsidR="00F77DBC" w:rsidRPr="00F77DBC" w:rsidRDefault="00F77DBC" w:rsidP="00F77DBC">
            <w:pPr>
              <w:spacing w:after="160" w:line="259" w:lineRule="auto"/>
            </w:pPr>
          </w:p>
        </w:tc>
        <w:tc>
          <w:tcPr>
            <w:tcW w:w="5764" w:type="dxa"/>
            <w:gridSpan w:val="13"/>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(наименование сетевой организаци)</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Фамилия Имя Отчество)</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1032" w:type="dxa"/>
            <w:gridSpan w:val="2"/>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По адресу:</w:t>
            </w:r>
          </w:p>
        </w:tc>
        <w:tc>
          <w:tcPr>
            <w:tcW w:w="8640" w:type="dxa"/>
            <w:gridSpan w:val="22"/>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137" w:type="dxa"/>
            <w:gridSpan w:val="3"/>
          </w:tcPr>
          <w:p w:rsidR="00F77DBC" w:rsidRPr="00F77DBC" w:rsidRDefault="00F77DBC" w:rsidP="00F77DBC">
            <w:pPr>
              <w:spacing w:after="160" w:line="259" w:lineRule="auto"/>
            </w:pPr>
          </w:p>
        </w:tc>
        <w:tc>
          <w:tcPr>
            <w:tcW w:w="8640" w:type="dxa"/>
            <w:gridSpan w:val="22"/>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679" w:type="dxa"/>
            <w:gridSpan w:val="6"/>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Место установки прибора учета:</w:t>
            </w:r>
          </w:p>
        </w:tc>
        <w:tc>
          <w:tcPr>
            <w:tcW w:w="6993" w:type="dxa"/>
            <w:gridSpan w:val="18"/>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99"/>
        </w:trPr>
        <w:tc>
          <w:tcPr>
            <w:tcW w:w="2784" w:type="dxa"/>
            <w:gridSpan w:val="7"/>
          </w:tcPr>
          <w:p w:rsidR="00F77DBC" w:rsidRPr="00F77DBC" w:rsidRDefault="00F77DBC" w:rsidP="00F77DBC">
            <w:pPr>
              <w:spacing w:after="160" w:line="259" w:lineRule="auto"/>
            </w:pPr>
          </w:p>
        </w:tc>
        <w:tc>
          <w:tcPr>
            <w:tcW w:w="6993" w:type="dxa"/>
            <w:gridSpan w:val="18"/>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156" w:type="dxa"/>
            <w:gridSpan w:val="5"/>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Лицевой счет (договор):</w:t>
            </w:r>
          </w:p>
        </w:tc>
        <w:tc>
          <w:tcPr>
            <w:tcW w:w="7516" w:type="dxa"/>
            <w:gridSpan w:val="19"/>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261" w:type="dxa"/>
            <w:gridSpan w:val="6"/>
          </w:tcPr>
          <w:p w:rsidR="00F77DBC" w:rsidRPr="00F77DBC" w:rsidRDefault="00F77DBC" w:rsidP="00F77DBC">
            <w:pPr>
              <w:spacing w:after="160" w:line="259" w:lineRule="auto"/>
            </w:pPr>
          </w:p>
        </w:tc>
        <w:tc>
          <w:tcPr>
            <w:tcW w:w="7516" w:type="dxa"/>
            <w:gridSpan w:val="19"/>
            <w:tcBorders>
              <w:top w:val="single" w:sz="5" w:space="0" w:color="000000"/>
            </w:tcBorders>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2156" w:type="dxa"/>
            <w:gridSpan w:val="5"/>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Основание проверки:</w:t>
            </w:r>
          </w:p>
        </w:tc>
        <w:tc>
          <w:tcPr>
            <w:tcW w:w="7516" w:type="dxa"/>
            <w:gridSpan w:val="19"/>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261" w:type="dxa"/>
            <w:gridSpan w:val="6"/>
          </w:tcPr>
          <w:p w:rsidR="00F77DBC" w:rsidRPr="00F77DBC" w:rsidRDefault="00F77DBC" w:rsidP="00F77DBC">
            <w:pPr>
              <w:spacing w:after="160" w:line="259" w:lineRule="auto"/>
            </w:pPr>
          </w:p>
        </w:tc>
        <w:tc>
          <w:tcPr>
            <w:tcW w:w="7516" w:type="dxa"/>
            <w:gridSpan w:val="19"/>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ПРИБОР УЧЕТА</w:t>
            </w: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Pr>
          <w:p w:rsidR="00F77DBC" w:rsidRPr="00F77DBC" w:rsidRDefault="00F77DBC" w:rsidP="00F77DBC">
            <w:pPr>
              <w:spacing w:after="160" w:line="232" w:lineRule="auto"/>
              <w:rPr>
                <w:rFonts w:ascii="Tahoma" w:eastAsia="Tahoma" w:hAnsi="Tahoma" w:cs="Tahoma"/>
                <w:color w:val="000000"/>
                <w:spacing w:val="-2"/>
                <w:sz w:val="18"/>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СНЯТ</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УСТАНОВЛЕН</w:t>
            </w:r>
          </w:p>
        </w:tc>
      </w:tr>
      <w:tr w:rsidR="00F77DBC" w:rsidRPr="00F77DBC" w:rsidTr="00F77DBC">
        <w:trPr>
          <w:trHeight w:val="44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Тип прибора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lastRenderedPageBreak/>
              <w:t>№ прибора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T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"пик/день"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"полупик/ночь"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Т "ночь"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Значность</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 xml:space="preserve">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Класс точности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Ток, 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Напряжение, В</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выпуска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поверки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 xml:space="preserve"> </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Межповерочный интервал</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r w:rsidRPr="00F77DBC">
              <w:rPr>
                <w:rFonts w:ascii="Tahoma" w:eastAsia="Tahoma" w:hAnsi="Tahoma" w:cs="Tahoma"/>
                <w:color w:val="000000"/>
                <w:spacing w:val="-2"/>
                <w:sz w:val="16"/>
              </w:rPr>
              <w:t>-</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Дата следующей поверки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458"/>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Информация о присоединении к интеллектуальной системе учета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3"/>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Находится в собственности</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29"/>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Номер СИМ–карты/шлюза</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572"/>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center"/>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Оттиск поверителя соответствует в свидетельстве о поверке и (или) записи в паспорте (формуляре)</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center"/>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214"/>
        </w:trPr>
        <w:tc>
          <w:tcPr>
            <w:tcW w:w="3398"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Тип/№ пломбы</w:t>
            </w: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c>
          <w:tcPr>
            <w:tcW w:w="3189" w:type="dxa"/>
            <w:gridSpan w:val="7"/>
            <w:tcBorders>
              <w:top w:val="single" w:sz="5" w:space="0" w:color="696969"/>
              <w:left w:val="single" w:sz="5" w:space="0" w:color="696969"/>
              <w:bottom w:val="single" w:sz="5" w:space="0" w:color="696969"/>
              <w:right w:val="single" w:sz="5" w:space="0" w:color="696969"/>
            </w:tcBorders>
            <w:shd w:val="clear" w:color="auto" w:fill="auto"/>
            <w:vAlign w:val="bottom"/>
          </w:tcPr>
          <w:p w:rsidR="00F77DBC" w:rsidRPr="00F77DBC" w:rsidRDefault="00F77DBC" w:rsidP="00F77DBC">
            <w:pPr>
              <w:spacing w:after="160" w:line="232" w:lineRule="auto"/>
              <w:jc w:val="center"/>
              <w:rPr>
                <w:rFonts w:ascii="Tahoma" w:eastAsia="Tahoma" w:hAnsi="Tahoma" w:cs="Tahoma"/>
                <w:color w:val="000000"/>
                <w:spacing w:val="-2"/>
                <w:sz w:val="16"/>
              </w:rPr>
            </w:pPr>
          </w:p>
        </w:tc>
      </w:tr>
      <w:tr w:rsidR="00F77DBC" w:rsidRPr="00F77DBC" w:rsidTr="00F77DBC">
        <w:trPr>
          <w:trHeight w:val="786"/>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Указание мест на приборе учета, где установлены контрольные одноразовые номерные пломбы (контрольные пломбы) /</w:t>
            </w:r>
          </w:p>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r w:rsidRPr="00F77DBC">
              <w:rPr>
                <w:rFonts w:ascii="Tahoma" w:eastAsia="Tahoma" w:hAnsi="Tahoma" w:cs="Tahoma"/>
                <w:color w:val="000000"/>
                <w:spacing w:val="-2"/>
                <w:sz w:val="18"/>
              </w:rPr>
              <w:tab/>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696969"/>
            </w:tcBorders>
          </w:tcPr>
          <w:p w:rsidR="00F77DBC" w:rsidRPr="00F77DBC" w:rsidRDefault="00F77DBC" w:rsidP="00F77DBC">
            <w:pPr>
              <w:spacing w:after="160" w:line="259" w:lineRule="auto"/>
            </w:pPr>
          </w:p>
        </w:tc>
      </w:tr>
      <w:tr w:rsidR="00F77DBC" w:rsidRPr="00F77DBC" w:rsidTr="00F77DBC">
        <w:trPr>
          <w:trHeight w:val="214"/>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b/>
                <w:color w:val="000000"/>
                <w:spacing w:val="-2"/>
                <w:sz w:val="16"/>
              </w:rPr>
            </w:pPr>
            <w:r w:rsidRPr="00F77DBC">
              <w:rPr>
                <w:rFonts w:ascii="Tahoma" w:eastAsia="Tahoma" w:hAnsi="Tahoma" w:cs="Tahoma"/>
                <w:b/>
                <w:color w:val="000000"/>
                <w:spacing w:val="-2"/>
                <w:sz w:val="16"/>
              </w:rPr>
              <w:t>Наименование присоединения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Центр питания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9"/>
        </w:trPr>
        <w:tc>
          <w:tcPr>
            <w:tcW w:w="104" w:type="dxa"/>
            <w:tcBorders>
              <w:right w:val="single" w:sz="5" w:space="0" w:color="696969"/>
            </w:tcBorders>
          </w:tcPr>
          <w:p w:rsidR="00F77DBC" w:rsidRPr="00F77DBC" w:rsidRDefault="00F77DBC" w:rsidP="00F77DBC">
            <w:pPr>
              <w:spacing w:after="160" w:line="259" w:lineRule="auto"/>
            </w:pPr>
          </w:p>
        </w:tc>
        <w:tc>
          <w:tcPr>
            <w:tcW w:w="1751" w:type="dxa"/>
            <w:gridSpan w:val="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Фидер 10 (6) кВ</w:t>
            </w:r>
          </w:p>
        </w:tc>
        <w:tc>
          <w:tcPr>
            <w:tcW w:w="3084"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c>
          <w:tcPr>
            <w:tcW w:w="1751" w:type="dxa"/>
            <w:gridSpan w:val="3"/>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ТП (КТП)</w:t>
            </w:r>
          </w:p>
        </w:tc>
        <w:tc>
          <w:tcPr>
            <w:tcW w:w="3084" w:type="dxa"/>
            <w:gridSpan w:val="6"/>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1751" w:type="dxa"/>
            <w:gridSpan w:val="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Фидер 0,4 кВ</w:t>
            </w:r>
          </w:p>
        </w:tc>
        <w:tc>
          <w:tcPr>
            <w:tcW w:w="3084" w:type="dxa"/>
            <w:gridSpan w:val="11"/>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c>
          <w:tcPr>
            <w:tcW w:w="1751" w:type="dxa"/>
            <w:gridSpan w:val="3"/>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Опора 0,4 кВ</w:t>
            </w:r>
          </w:p>
        </w:tc>
        <w:tc>
          <w:tcPr>
            <w:tcW w:w="3084" w:type="dxa"/>
            <w:gridSpan w:val="6"/>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14"/>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Характеристика помещения</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Borders>
              <w:right w:val="single" w:sz="5" w:space="0" w:color="696969"/>
            </w:tcBorders>
          </w:tcPr>
          <w:p w:rsidR="00F77DBC" w:rsidRPr="00F77DBC" w:rsidRDefault="00F77DBC" w:rsidP="00F77DBC">
            <w:pPr>
              <w:spacing w:after="160" w:line="259" w:lineRule="auto"/>
            </w:pPr>
          </w:p>
        </w:tc>
        <w:tc>
          <w:tcPr>
            <w:tcW w:w="3293" w:type="dxa"/>
            <w:gridSpan w:val="10"/>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r w:rsidRPr="00F77DBC">
              <w:rPr>
                <w:rFonts w:ascii="Tahoma" w:eastAsia="Tahoma" w:hAnsi="Tahoma" w:cs="Tahoma"/>
                <w:color w:val="000000"/>
                <w:spacing w:val="-2"/>
                <w:sz w:val="16"/>
              </w:rPr>
              <w:t>Коммутационный аппарат до прибора учета</w:t>
            </w:r>
          </w:p>
        </w:tc>
        <w:tc>
          <w:tcPr>
            <w:tcW w:w="6379" w:type="dxa"/>
            <w:gridSpan w:val="14"/>
            <w:tcBorders>
              <w:top w:val="single" w:sz="5" w:space="0" w:color="696969"/>
              <w:left w:val="single" w:sz="5" w:space="0" w:color="696969"/>
              <w:bottom w:val="single" w:sz="5" w:space="0" w:color="696969"/>
              <w:right w:val="single" w:sz="5" w:space="0" w:color="696969"/>
            </w:tcBorders>
            <w:shd w:val="clear" w:color="auto" w:fill="auto"/>
            <w:tcMar>
              <w:left w:w="72" w:type="dxa"/>
            </w:tcMar>
            <w:vAlign w:val="bottom"/>
          </w:tcPr>
          <w:p w:rsidR="00F77DBC" w:rsidRPr="00F77DBC" w:rsidRDefault="00F77DBC" w:rsidP="00F77DBC">
            <w:pPr>
              <w:spacing w:after="160" w:line="232" w:lineRule="auto"/>
              <w:rPr>
                <w:rFonts w:ascii="Tahoma" w:eastAsia="Tahoma" w:hAnsi="Tahoma" w:cs="Tahoma"/>
                <w:color w:val="000000"/>
                <w:spacing w:val="-2"/>
                <w:sz w:val="16"/>
              </w:rPr>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jc w:val="center"/>
              <w:rPr>
                <w:rFonts w:ascii="Tahoma" w:eastAsia="Tahoma" w:hAnsi="Tahoma" w:cs="Tahoma"/>
                <w:b/>
                <w:color w:val="000000"/>
                <w:spacing w:val="-2"/>
                <w:sz w:val="18"/>
              </w:rPr>
            </w:pPr>
            <w:r w:rsidRPr="00F77DBC">
              <w:rPr>
                <w:rFonts w:ascii="Tahoma" w:eastAsia="Tahoma" w:hAnsi="Tahoma" w:cs="Tahoma"/>
                <w:b/>
                <w:color w:val="000000"/>
                <w:spacing w:val="-2"/>
                <w:sz w:val="18"/>
              </w:rPr>
              <w:t>РЕЗУЛЬТАТЫ ПРОВЕРКИ</w:t>
            </w:r>
          </w:p>
        </w:tc>
      </w:tr>
      <w:tr w:rsidR="00F77DBC" w:rsidRPr="00F77DBC" w:rsidTr="00F77DBC">
        <w:trPr>
          <w:trHeight w:val="443"/>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tc>
      </w:tr>
      <w:tr w:rsidR="00F77DBC" w:rsidRPr="00F77DBC" w:rsidTr="00F77DBC">
        <w:trPr>
          <w:trHeight w:val="242"/>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Прибор учёта (измерительный комплекс) к коммерческим расчётам пригоден</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3"/>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Мероприятия, необходимые к выполнению для допуска прибора учета электрической энергии в эксплуатацию:</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2770" w:type="dxa"/>
            <w:gridSpan w:val="7"/>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 xml:space="preserve">Срок выполнения мероприятий до </w:t>
            </w:r>
          </w:p>
        </w:tc>
        <w:tc>
          <w:tcPr>
            <w:tcW w:w="6902" w:type="dxa"/>
            <w:gridSpan w:val="17"/>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114"/>
        </w:trPr>
        <w:tc>
          <w:tcPr>
            <w:tcW w:w="2875" w:type="dxa"/>
            <w:gridSpan w:val="8"/>
          </w:tcPr>
          <w:p w:rsidR="00F77DBC" w:rsidRPr="00F77DBC" w:rsidRDefault="00F77DBC" w:rsidP="00F77DBC">
            <w:pPr>
              <w:spacing w:after="160" w:line="259" w:lineRule="auto"/>
            </w:pPr>
          </w:p>
        </w:tc>
        <w:tc>
          <w:tcPr>
            <w:tcW w:w="6902" w:type="dxa"/>
            <w:gridSpan w:val="17"/>
            <w:tcBorders>
              <w:top w:val="single" w:sz="5" w:space="0" w:color="000000"/>
            </w:tcBorders>
          </w:tcPr>
          <w:p w:rsidR="00F77DBC" w:rsidRPr="00F77DBC" w:rsidRDefault="00F77DBC" w:rsidP="00F77DBC">
            <w:pPr>
              <w:spacing w:after="160" w:line="259" w:lineRule="auto"/>
            </w:pPr>
          </w:p>
        </w:tc>
      </w:tr>
      <w:tr w:rsidR="00F77DBC" w:rsidRPr="00F77DBC" w:rsidTr="00F77DBC">
        <w:trPr>
          <w:trHeight w:val="359"/>
        </w:trPr>
        <w:tc>
          <w:tcPr>
            <w:tcW w:w="104" w:type="dxa"/>
          </w:tcPr>
          <w:p w:rsidR="00F77DBC" w:rsidRPr="00F77DBC" w:rsidRDefault="00F77DBC" w:rsidP="00F77DBC">
            <w:pPr>
              <w:spacing w:after="160" w:line="259" w:lineRule="auto"/>
            </w:pPr>
          </w:p>
        </w:tc>
        <w:tc>
          <w:tcPr>
            <w:tcW w:w="718" w:type="dxa"/>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Прочее:</w:t>
            </w:r>
          </w:p>
        </w:tc>
        <w:tc>
          <w:tcPr>
            <w:tcW w:w="8954" w:type="dxa"/>
            <w:gridSpan w:val="23"/>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823" w:type="dxa"/>
            <w:gridSpan w:val="2"/>
          </w:tcPr>
          <w:p w:rsidR="00F77DBC" w:rsidRPr="00F77DBC" w:rsidRDefault="00F77DBC" w:rsidP="00F77DBC">
            <w:pPr>
              <w:spacing w:after="160" w:line="259" w:lineRule="auto"/>
            </w:pPr>
          </w:p>
        </w:tc>
        <w:tc>
          <w:tcPr>
            <w:tcW w:w="8954" w:type="dxa"/>
            <w:gridSpan w:val="23"/>
            <w:tcBorders>
              <w:top w:val="single" w:sz="5" w:space="0" w:color="000000"/>
            </w:tcBorders>
          </w:tcPr>
          <w:p w:rsidR="00F77DBC" w:rsidRPr="00F77DBC" w:rsidRDefault="00F77DBC" w:rsidP="00F77DBC">
            <w:pPr>
              <w:spacing w:after="160" w:line="259" w:lineRule="auto"/>
            </w:pPr>
          </w:p>
        </w:tc>
      </w:tr>
      <w:tr w:rsidR="00F77DBC" w:rsidRPr="00F77DBC" w:rsidTr="00F77DBC">
        <w:trPr>
          <w:trHeight w:val="329"/>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jc w:val="center"/>
              <w:rPr>
                <w:rFonts w:ascii="Tahoma" w:eastAsia="Tahoma" w:hAnsi="Tahoma" w:cs="Tahoma"/>
                <w:b/>
                <w:color w:val="000000"/>
                <w:spacing w:val="-2"/>
                <w:sz w:val="20"/>
              </w:rPr>
            </w:pPr>
            <w:r w:rsidRPr="00F77DBC">
              <w:rPr>
                <w:rFonts w:ascii="Tahoma" w:eastAsia="Tahoma" w:hAnsi="Tahoma" w:cs="Tahoma"/>
                <w:b/>
                <w:color w:val="000000"/>
                <w:spacing w:val="-2"/>
                <w:sz w:val="20"/>
              </w:rPr>
              <w:t>Уведомление потребителю (представителю):</w:t>
            </w:r>
          </w:p>
        </w:tc>
      </w:tr>
      <w:tr w:rsidR="00F77DBC" w:rsidRPr="00F77DBC" w:rsidTr="00F77DBC">
        <w:trPr>
          <w:trHeight w:val="1129"/>
        </w:trPr>
        <w:tc>
          <w:tcPr>
            <w:tcW w:w="104" w:type="dxa"/>
          </w:tcPr>
          <w:p w:rsidR="00F77DBC" w:rsidRPr="00F77DBC" w:rsidRDefault="00F77DBC" w:rsidP="00F77DBC">
            <w:pPr>
              <w:spacing w:after="160" w:line="259" w:lineRule="auto"/>
            </w:pPr>
          </w:p>
        </w:tc>
        <w:tc>
          <w:tcPr>
            <w:tcW w:w="9673" w:type="dxa"/>
            <w:gridSpan w:val="24"/>
            <w:shd w:val="clear" w:color="auto" w:fill="auto"/>
            <w:vAlign w:val="center"/>
          </w:tcPr>
          <w:p w:rsidR="00F77DBC" w:rsidRPr="00F77DBC" w:rsidRDefault="00F77DBC" w:rsidP="00F77DBC">
            <w:pPr>
              <w:spacing w:after="160" w:line="232" w:lineRule="auto"/>
              <w:jc w:val="both"/>
              <w:rPr>
                <w:rFonts w:ascii="Tahoma" w:eastAsia="Tahoma" w:hAnsi="Tahoma" w:cs="Tahoma"/>
                <w:b/>
                <w:color w:val="000000"/>
                <w:spacing w:val="-2"/>
                <w:sz w:val="18"/>
                <w:u w:val="single"/>
              </w:rPr>
            </w:pPr>
            <w:r w:rsidRPr="00F77DBC">
              <w:rPr>
                <w:rFonts w:ascii="Tahoma" w:eastAsia="Tahoma" w:hAnsi="Tahoma" w:cs="Tahoma"/>
                <w:b/>
                <w:color w:val="000000"/>
                <w:spacing w:val="-2"/>
                <w:sz w:val="18"/>
                <w:u w:val="single"/>
              </w:rPr>
              <w:t>Потребитель¹ (представитель), ответственный квартиросъемщик (собственник жилья) 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tc>
      </w:tr>
      <w:tr w:rsidR="00F77DBC" w:rsidRPr="00F77DBC" w:rsidTr="00F77DBC">
        <w:trPr>
          <w:trHeight w:val="45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Уведомление о присоединении прибора учета электрической энергии к интеллектуальной системе учета прошу направить посредством Пусто</w:t>
            </w:r>
          </w:p>
        </w:tc>
      </w:tr>
      <w:tr w:rsidR="00F77DBC" w:rsidRPr="00F77DBC" w:rsidTr="00F77DBC">
        <w:trPr>
          <w:trHeight w:val="214"/>
        </w:trPr>
        <w:tc>
          <w:tcPr>
            <w:tcW w:w="1137" w:type="dxa"/>
            <w:gridSpan w:val="3"/>
          </w:tcPr>
          <w:p w:rsidR="00F77DBC" w:rsidRPr="00F77DBC" w:rsidRDefault="00F77DBC" w:rsidP="00F77DBC">
            <w:pPr>
              <w:spacing w:after="160" w:line="259" w:lineRule="auto"/>
            </w:pPr>
          </w:p>
        </w:tc>
        <w:tc>
          <w:tcPr>
            <w:tcW w:w="8640" w:type="dxa"/>
            <w:gridSpan w:val="22"/>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(выбрать предпочитаемый способ уведомления: смс–уведомление, электронная почта, почтовый адрес и т.п.)</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Демонтированное оборудование получил:</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(заполняется в случае принадлежности снятого оборудования Потребителю. Указывается перечень полученного оборудования)</w:t>
            </w:r>
          </w:p>
        </w:tc>
      </w:tr>
      <w:tr w:rsidR="00F77DBC" w:rsidRPr="00F77DBC" w:rsidTr="00F77DBC">
        <w:trPr>
          <w:trHeight w:val="44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Подписи представителей лиц, которые принимают участие в процедуре ввода прибора учета в эксплуатацию (в проверке прибора учета):</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4522" w:type="dxa"/>
            <w:gridSpan w:val="1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энергосбытовой организации:</w:t>
            </w:r>
          </w:p>
        </w:tc>
        <w:tc>
          <w:tcPr>
            <w:tcW w:w="2889" w:type="dxa"/>
            <w:gridSpan w:val="6"/>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jc w:val="right"/>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29"/>
        </w:trPr>
        <w:tc>
          <w:tcPr>
            <w:tcW w:w="104" w:type="dxa"/>
          </w:tcPr>
          <w:p w:rsidR="00F77DBC" w:rsidRPr="00F77DBC" w:rsidRDefault="00F77DBC" w:rsidP="00F77DBC">
            <w:pPr>
              <w:spacing w:after="160" w:line="259" w:lineRule="auto"/>
            </w:pPr>
          </w:p>
        </w:tc>
        <w:tc>
          <w:tcPr>
            <w:tcW w:w="4522" w:type="dxa"/>
            <w:gridSpan w:val="14"/>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сетевой организации:</w:t>
            </w:r>
          </w:p>
        </w:tc>
        <w:tc>
          <w:tcPr>
            <w:tcW w:w="2889" w:type="dxa"/>
            <w:gridSpan w:val="6"/>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7412" w:type="dxa"/>
            <w:gridSpan w:val="20"/>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Представитель исполнителя коммунальных услуг (эксплуатирующей организации):</w:t>
            </w: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342"/>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9"/>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(должность, 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4326" w:type="dxa"/>
            <w:gridSpan w:val="13"/>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Потребитель¹ (представитель):</w:t>
            </w:r>
          </w:p>
        </w:tc>
        <w:tc>
          <w:tcPr>
            <w:tcW w:w="3085" w:type="dxa"/>
            <w:gridSpan w:val="7"/>
          </w:tcPr>
          <w:p w:rsidR="00F77DBC" w:rsidRPr="00F77DBC" w:rsidRDefault="00F77DBC" w:rsidP="00F77DBC">
            <w:pPr>
              <w:spacing w:after="160" w:line="259" w:lineRule="auto"/>
            </w:pPr>
          </w:p>
        </w:tc>
        <w:tc>
          <w:tcPr>
            <w:tcW w:w="2260" w:type="dxa"/>
            <w:gridSpan w:val="4"/>
            <w:vMerge w:val="restart"/>
            <w:tcBorders>
              <w:bottom w:val="single" w:sz="5" w:space="0" w:color="000000"/>
            </w:tcBorders>
            <w:vAlign w:val="center"/>
          </w:tcPr>
          <w:p w:rsidR="00F77DBC" w:rsidRPr="00F77DBC" w:rsidRDefault="00F77DBC" w:rsidP="00F77DBC">
            <w:pPr>
              <w:spacing w:after="160" w:line="259" w:lineRule="auto"/>
              <w:jc w:val="right"/>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4"/>
            <w:vMerge/>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228"/>
        </w:trPr>
        <w:tc>
          <w:tcPr>
            <w:tcW w:w="104" w:type="dxa"/>
          </w:tcPr>
          <w:p w:rsidR="00F77DBC" w:rsidRPr="00F77DBC" w:rsidRDefault="00F77DBC" w:rsidP="00F77DBC">
            <w:pPr>
              <w:spacing w:after="160" w:line="259" w:lineRule="auto"/>
            </w:pPr>
          </w:p>
        </w:tc>
        <w:tc>
          <w:tcPr>
            <w:tcW w:w="7412" w:type="dxa"/>
            <w:gridSpan w:val="20"/>
            <w:shd w:val="clear" w:color="auto" w:fill="auto"/>
            <w:vAlign w:val="bottom"/>
          </w:tcPr>
          <w:p w:rsidR="00F77DBC" w:rsidRPr="00F77DBC" w:rsidRDefault="00F77DBC" w:rsidP="00F77DBC">
            <w:pPr>
              <w:spacing w:after="160" w:line="232" w:lineRule="auto"/>
              <w:rPr>
                <w:rFonts w:ascii="Tahoma" w:eastAsia="Tahoma" w:hAnsi="Tahoma" w:cs="Tahoma"/>
                <w:b/>
                <w:color w:val="000000"/>
                <w:spacing w:val="-2"/>
                <w:sz w:val="18"/>
              </w:rPr>
            </w:pPr>
            <w:r w:rsidRPr="00F77DBC">
              <w:rPr>
                <w:rFonts w:ascii="Tahoma" w:eastAsia="Tahoma" w:hAnsi="Tahoma" w:cs="Tahoma"/>
                <w:b/>
                <w:color w:val="000000"/>
                <w:spacing w:val="-2"/>
                <w:sz w:val="18"/>
              </w:rPr>
              <w:t>Незаинтересованные лица:</w:t>
            </w:r>
          </w:p>
        </w:tc>
        <w:tc>
          <w:tcPr>
            <w:tcW w:w="2260" w:type="dxa"/>
            <w:gridSpan w:val="4"/>
          </w:tcPr>
          <w:p w:rsidR="00F77DBC" w:rsidRPr="00F77DBC" w:rsidRDefault="00F77DBC" w:rsidP="00F77DBC">
            <w:pPr>
              <w:spacing w:after="160" w:line="259" w:lineRule="auto"/>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343"/>
        </w:trPr>
        <w:tc>
          <w:tcPr>
            <w:tcW w:w="104" w:type="dxa"/>
          </w:tcPr>
          <w:p w:rsidR="00F77DBC" w:rsidRPr="00F77DBC" w:rsidRDefault="00F77DBC" w:rsidP="00F77DBC">
            <w:pPr>
              <w:spacing w:after="160" w:line="259" w:lineRule="auto"/>
            </w:pPr>
          </w:p>
        </w:tc>
        <w:tc>
          <w:tcPr>
            <w:tcW w:w="7412" w:type="dxa"/>
            <w:gridSpan w:val="20"/>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w:t>
            </w:r>
          </w:p>
        </w:tc>
        <w:tc>
          <w:tcPr>
            <w:tcW w:w="2260" w:type="dxa"/>
            <w:gridSpan w:val="4"/>
            <w:tcBorders>
              <w:bottom w:val="single" w:sz="5" w:space="0" w:color="000000"/>
            </w:tcBorders>
            <w:vAlign w:val="center"/>
          </w:tcPr>
          <w:p w:rsidR="00F77DBC" w:rsidRPr="00F77DBC" w:rsidRDefault="00F77DBC" w:rsidP="00F77DBC">
            <w:pPr>
              <w:spacing w:after="160" w:line="259" w:lineRule="auto"/>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(Ф И.О., контактные данные, подпись)</w:t>
            </w:r>
          </w:p>
        </w:tc>
      </w:tr>
      <w:tr w:rsidR="00F77DBC" w:rsidRPr="00F77DBC" w:rsidTr="00F77DBC">
        <w:trPr>
          <w:trHeight w:val="214"/>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Настоящий акт составлен в 0 экземплярах, по 1 для каждой из сторон. Один экземпляр вручен потребителю (представителю):</w:t>
            </w:r>
          </w:p>
        </w:tc>
      </w:tr>
      <w:tr w:rsidR="00F77DBC" w:rsidRPr="00F77DBC" w:rsidTr="00F77DBC">
        <w:trPr>
          <w:trHeight w:val="112"/>
        </w:trPr>
        <w:tc>
          <w:tcPr>
            <w:tcW w:w="104" w:type="dxa"/>
          </w:tcPr>
          <w:p w:rsidR="00F77DBC" w:rsidRPr="00F77DBC" w:rsidRDefault="00F77DBC" w:rsidP="00F77DBC">
            <w:pPr>
              <w:spacing w:after="160" w:line="259" w:lineRule="auto"/>
            </w:pPr>
          </w:p>
        </w:tc>
        <w:tc>
          <w:tcPr>
            <w:tcW w:w="3189" w:type="dxa"/>
            <w:gridSpan w:val="9"/>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c>
          <w:tcPr>
            <w:tcW w:w="2260" w:type="dxa"/>
            <w:gridSpan w:val="7"/>
            <w:vMerge w:val="restart"/>
            <w:tcBorders>
              <w:bottom w:val="single" w:sz="5" w:space="0" w:color="000000"/>
            </w:tcBorders>
            <w:vAlign w:val="center"/>
          </w:tcPr>
          <w:p w:rsidR="00F77DBC" w:rsidRPr="00F77DBC" w:rsidRDefault="00F77DBC" w:rsidP="00F77DBC">
            <w:pPr>
              <w:spacing w:after="160" w:line="259" w:lineRule="auto"/>
            </w:pPr>
          </w:p>
        </w:tc>
        <w:tc>
          <w:tcPr>
            <w:tcW w:w="4222" w:type="dxa"/>
            <w:gridSpan w:val="8"/>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343"/>
        </w:trPr>
        <w:tc>
          <w:tcPr>
            <w:tcW w:w="104" w:type="dxa"/>
          </w:tcPr>
          <w:p w:rsidR="00F77DBC" w:rsidRPr="00F77DBC" w:rsidRDefault="00F77DBC" w:rsidP="00F77DBC">
            <w:pPr>
              <w:spacing w:after="160" w:line="259" w:lineRule="auto"/>
            </w:pPr>
          </w:p>
        </w:tc>
        <w:tc>
          <w:tcPr>
            <w:tcW w:w="3189" w:type="dxa"/>
            <w:gridSpan w:val="9"/>
            <w:tcBorders>
              <w:bottom w:val="single" w:sz="5" w:space="0" w:color="000000"/>
            </w:tcBorders>
          </w:tcPr>
          <w:p w:rsidR="00F77DBC" w:rsidRPr="00F77DBC" w:rsidRDefault="00F77DBC" w:rsidP="00F77DBC">
            <w:pPr>
              <w:spacing w:after="160" w:line="259" w:lineRule="auto"/>
            </w:pPr>
          </w:p>
        </w:tc>
        <w:tc>
          <w:tcPr>
            <w:tcW w:w="2260" w:type="dxa"/>
            <w:gridSpan w:val="7"/>
            <w:vMerge/>
            <w:tcBorders>
              <w:bottom w:val="single" w:sz="5" w:space="0" w:color="000000"/>
            </w:tcBorders>
            <w:vAlign w:val="center"/>
          </w:tcPr>
          <w:p w:rsidR="00F77DBC" w:rsidRPr="00F77DBC" w:rsidRDefault="00F77DBC" w:rsidP="00F77DBC">
            <w:pPr>
              <w:spacing w:after="160" w:line="259" w:lineRule="auto"/>
            </w:pPr>
          </w:p>
        </w:tc>
        <w:tc>
          <w:tcPr>
            <w:tcW w:w="4222" w:type="dxa"/>
            <w:gridSpan w:val="8"/>
            <w:tcBorders>
              <w:bottom w:val="single" w:sz="5" w:space="0" w:color="000000"/>
            </w:tcBorders>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p>
        </w:tc>
      </w:tr>
      <w:tr w:rsidR="00F77DBC" w:rsidRPr="00F77DBC" w:rsidTr="00F77DBC">
        <w:trPr>
          <w:trHeight w:val="228"/>
        </w:trPr>
        <w:tc>
          <w:tcPr>
            <w:tcW w:w="104" w:type="dxa"/>
          </w:tcPr>
          <w:p w:rsidR="00F77DBC" w:rsidRPr="00F77DBC" w:rsidRDefault="00F77DBC" w:rsidP="00F77DBC">
            <w:pPr>
              <w:spacing w:after="160" w:line="259" w:lineRule="auto"/>
            </w:pPr>
          </w:p>
        </w:tc>
        <w:tc>
          <w:tcPr>
            <w:tcW w:w="9673" w:type="dxa"/>
            <w:gridSpan w:val="24"/>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r w:rsidRPr="00F77DBC">
              <w:rPr>
                <w:rFonts w:ascii="Tahoma" w:eastAsia="Tahoma" w:hAnsi="Tahoma" w:cs="Tahoma"/>
                <w:color w:val="000000"/>
                <w:spacing w:val="-2"/>
                <w:sz w:val="14"/>
              </w:rPr>
              <w:t>(подпись, Расшифровка подписи)</w:t>
            </w:r>
          </w:p>
        </w:tc>
      </w:tr>
      <w:tr w:rsidR="00F77DBC" w:rsidRPr="00F77DBC" w:rsidTr="00F77DBC">
        <w:trPr>
          <w:trHeight w:hRule="exact" w:val="226"/>
        </w:trPr>
        <w:tc>
          <w:tcPr>
            <w:tcW w:w="104" w:type="dxa"/>
          </w:tcPr>
          <w:p w:rsidR="00F77DBC" w:rsidRPr="00F77DBC" w:rsidRDefault="00F77DBC" w:rsidP="00F77DBC">
            <w:pPr>
              <w:spacing w:after="160" w:line="259" w:lineRule="auto"/>
            </w:pPr>
          </w:p>
        </w:tc>
        <w:tc>
          <w:tcPr>
            <w:tcW w:w="9673" w:type="dxa"/>
            <w:gridSpan w:val="24"/>
            <w:shd w:val="clear" w:color="auto" w:fill="auto"/>
            <w:vAlign w:val="bottom"/>
          </w:tcPr>
          <w:p w:rsidR="00F77DBC" w:rsidRPr="00F77DBC" w:rsidRDefault="00F77DBC" w:rsidP="00F77DBC">
            <w:pPr>
              <w:spacing w:after="160" w:line="232" w:lineRule="auto"/>
              <w:rPr>
                <w:rFonts w:ascii="Tahoma" w:eastAsia="Tahoma" w:hAnsi="Tahoma" w:cs="Tahoma"/>
                <w:color w:val="000000"/>
                <w:spacing w:val="-2"/>
                <w:sz w:val="18"/>
              </w:rPr>
            </w:pPr>
            <w:r w:rsidRPr="00F77DBC">
              <w:rPr>
                <w:rFonts w:ascii="Tahoma" w:eastAsia="Tahoma" w:hAnsi="Tahoma" w:cs="Tahoma"/>
                <w:color w:val="000000"/>
                <w:spacing w:val="-2"/>
                <w:sz w:val="18"/>
              </w:rPr>
              <w:t>Лица, отказавшиеся от подписания акта, либо несогласные с указанными в акте результатами проверки (причина отказа от подписи/несогласия): -</w:t>
            </w:r>
          </w:p>
        </w:tc>
      </w:tr>
      <w:tr w:rsidR="00F77DBC" w:rsidRPr="00F77DBC" w:rsidTr="00F77DBC">
        <w:trPr>
          <w:trHeight w:val="114"/>
        </w:trPr>
        <w:tc>
          <w:tcPr>
            <w:tcW w:w="1751" w:type="dxa"/>
            <w:gridSpan w:val="4"/>
          </w:tcPr>
          <w:p w:rsidR="00F77DBC" w:rsidRPr="00F77DBC" w:rsidRDefault="00F77DBC" w:rsidP="00F77DBC">
            <w:pPr>
              <w:spacing w:after="160" w:line="259" w:lineRule="auto"/>
            </w:pPr>
          </w:p>
        </w:tc>
        <w:tc>
          <w:tcPr>
            <w:tcW w:w="8026" w:type="dxa"/>
            <w:gridSpan w:val="21"/>
            <w:tcBorders>
              <w:top w:val="single" w:sz="5" w:space="0" w:color="000000"/>
            </w:tcBorders>
            <w:shd w:val="clear" w:color="auto" w:fill="auto"/>
          </w:tcPr>
          <w:p w:rsidR="00F77DBC" w:rsidRPr="00F77DBC" w:rsidRDefault="00F77DBC" w:rsidP="00F77DBC">
            <w:pPr>
              <w:spacing w:after="160" w:line="232" w:lineRule="auto"/>
              <w:jc w:val="center"/>
              <w:rPr>
                <w:rFonts w:ascii="Tahoma" w:eastAsia="Tahoma" w:hAnsi="Tahoma" w:cs="Tahoma"/>
                <w:color w:val="000000"/>
                <w:spacing w:val="-2"/>
                <w:sz w:val="14"/>
              </w:rPr>
            </w:pPr>
          </w:p>
        </w:tc>
      </w:tr>
    </w:tbl>
    <w:p w:rsidR="00AD589C" w:rsidRPr="00871EDA" w:rsidRDefault="00AD589C" w:rsidP="00AD589C">
      <w:pPr>
        <w:jc w:val="both"/>
        <w:rPr>
          <w:rFonts w:ascii="Tahoma" w:hAnsi="Tahoma" w:cs="Tahoma"/>
          <w:b/>
          <w:sz w:val="20"/>
          <w:szCs w:val="20"/>
        </w:rPr>
      </w:pP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12CC0" w:rsidRPr="00871EDA" w:rsidRDefault="00612CC0" w:rsidP="00612CC0">
      <w:pPr>
        <w:spacing w:after="0" w:line="240" w:lineRule="auto"/>
        <w:jc w:val="center"/>
        <w:rPr>
          <w:rFonts w:ascii="Tahoma" w:eastAsia="Times New Roman" w:hAnsi="Tahoma" w:cs="Times New Roman"/>
          <w:b/>
          <w:sz w:val="18"/>
          <w:szCs w:val="18"/>
          <w:lang w:eastAsia="ru-RU"/>
        </w:rPr>
      </w:pPr>
      <w:r>
        <w:rPr>
          <w:rFonts w:ascii="Tahoma" w:eastAsia="Times New Roman" w:hAnsi="Tahoma" w:cs="Times New Roman"/>
          <w:b/>
          <w:sz w:val="18"/>
          <w:szCs w:val="18"/>
          <w:lang w:eastAsia="ru-RU"/>
        </w:rPr>
        <w:t xml:space="preserve"> </w:t>
      </w:r>
      <w:r w:rsidRPr="00871EDA">
        <w:rPr>
          <w:rFonts w:ascii="Tahoma" w:eastAsia="Times New Roman" w:hAnsi="Tahoma" w:cs="Times New Roman"/>
          <w:b/>
          <w:sz w:val="18"/>
          <w:szCs w:val="18"/>
          <w:lang w:eastAsia="ru-RU"/>
        </w:rPr>
        <w:t>АКТ №__________</w:t>
      </w:r>
    </w:p>
    <w:p w:rsidR="00612CC0" w:rsidRPr="00871EDA" w:rsidRDefault="00612CC0" w:rsidP="00612CC0">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612CC0" w:rsidRPr="00871EDA" w:rsidRDefault="00612CC0" w:rsidP="00612CC0">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612CC0" w:rsidRPr="00871EDA" w:rsidRDefault="00612CC0" w:rsidP="00612CC0">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612CC0"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612CC0" w:rsidRPr="00871EDA" w:rsidTr="004423DA">
        <w:tc>
          <w:tcPr>
            <w:tcW w:w="10762" w:type="dxa"/>
          </w:tcPr>
          <w:p w:rsidR="00612CC0" w:rsidRPr="00871EDA" w:rsidRDefault="00612CC0" w:rsidP="004423DA">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612CC0" w:rsidRPr="00871EDA" w:rsidTr="004423DA">
        <w:trPr>
          <w:trHeight w:val="958"/>
        </w:trPr>
        <w:tc>
          <w:tcPr>
            <w:tcW w:w="10762" w:type="dxa"/>
          </w:tcPr>
          <w:p w:rsidR="00612CC0" w:rsidRPr="00871EDA" w:rsidRDefault="00612CC0" w:rsidP="004423DA">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612CC0" w:rsidRPr="00871EDA" w:rsidTr="004423DA">
        <w:tc>
          <w:tcPr>
            <w:tcW w:w="10762" w:type="dxa"/>
          </w:tcPr>
          <w:p w:rsidR="00612CC0" w:rsidRPr="00871EDA" w:rsidRDefault="00612CC0" w:rsidP="004423DA">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612CC0" w:rsidRPr="00871EDA" w:rsidRDefault="00612CC0" w:rsidP="00612CC0">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612CC0" w:rsidRPr="00871EDA" w:rsidRDefault="00612CC0" w:rsidP="00612CC0">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Calibri" w:hAnsi="Tahoma" w:cs="Tahoma"/>
          <w:sz w:val="18"/>
          <w:szCs w:val="18"/>
        </w:rPr>
      </w:pPr>
    </w:p>
    <w:p w:rsidR="00612CC0" w:rsidRPr="00871EDA" w:rsidRDefault="00612CC0" w:rsidP="00612CC0">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612CC0" w:rsidRPr="00871EDA" w:rsidRDefault="00612CC0" w:rsidP="00612CC0">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612CC0" w:rsidRPr="00871EDA" w:rsidRDefault="00612CC0" w:rsidP="00612CC0">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612CC0" w:rsidRPr="00871EDA" w:rsidRDefault="00612CC0" w:rsidP="00612CC0">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612CC0" w:rsidRPr="00871EDA" w:rsidRDefault="00612CC0" w:rsidP="00612CC0">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612CC0" w:rsidRPr="00871EDA" w:rsidRDefault="00612CC0" w:rsidP="00612CC0">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612CC0" w:rsidRPr="00871EDA" w:rsidRDefault="00612CC0" w:rsidP="00612CC0">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612CC0" w:rsidRPr="00871EDA" w:rsidRDefault="00612CC0" w:rsidP="00612CC0">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612CC0" w:rsidRPr="00871EDA" w:rsidRDefault="00612CC0" w:rsidP="00612CC0">
      <w:pPr>
        <w:spacing w:after="0" w:line="240" w:lineRule="auto"/>
        <w:rPr>
          <w:rFonts w:ascii="Tahoma" w:eastAsia="Times New Roman" w:hAnsi="Tahoma" w:cs="Tahoma"/>
          <w:sz w:val="18"/>
          <w:szCs w:val="18"/>
          <w:lang w:eastAsia="ru-RU"/>
        </w:rPr>
      </w:pPr>
    </w:p>
    <w:p w:rsidR="00612CC0" w:rsidRPr="00871EDA" w:rsidRDefault="00612CC0" w:rsidP="00612CC0">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612CC0" w:rsidRPr="00871EDA" w:rsidRDefault="00612CC0" w:rsidP="00612CC0">
      <w:pPr>
        <w:spacing w:after="0" w:line="240" w:lineRule="auto"/>
        <w:jc w:val="center"/>
        <w:rPr>
          <w:rFonts w:ascii="Tahoma" w:eastAsia="Times New Roman" w:hAnsi="Tahoma" w:cs="Tahoma"/>
          <w:sz w:val="16"/>
          <w:szCs w:val="16"/>
          <w:lang w:eastAsia="ru-RU"/>
        </w:rPr>
      </w:pP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612CC0" w:rsidRPr="00871EDA" w:rsidRDefault="00612CC0" w:rsidP="00612CC0">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612CC0" w:rsidRPr="00871EDA" w:rsidRDefault="00612CC0" w:rsidP="00612CC0">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612CC0" w:rsidRPr="00871EDA" w:rsidRDefault="00612CC0" w:rsidP="00612CC0">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612CC0" w:rsidRPr="00871EDA" w:rsidRDefault="00612CC0" w:rsidP="00612CC0">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612CC0" w:rsidRPr="00871EDA" w:rsidRDefault="00612CC0" w:rsidP="00612CC0">
      <w:pPr>
        <w:autoSpaceDE w:val="0"/>
        <w:autoSpaceDN w:val="0"/>
        <w:adjustRightInd w:val="0"/>
        <w:spacing w:after="0" w:line="240" w:lineRule="auto"/>
        <w:ind w:firstLine="540"/>
        <w:jc w:val="both"/>
        <w:rPr>
          <w:rFonts w:ascii="Tahoma" w:eastAsia="Cambria" w:hAnsi="Tahoma" w:cs="Tahoma"/>
          <w:sz w:val="20"/>
          <w:szCs w:val="20"/>
          <w:lang w:eastAsia="ru-RU"/>
        </w:rPr>
      </w:pPr>
    </w:p>
    <w:p w:rsidR="00612CC0" w:rsidRPr="00871EDA" w:rsidRDefault="00612CC0" w:rsidP="00612CC0">
      <w:pPr>
        <w:spacing w:after="0" w:line="240" w:lineRule="auto"/>
        <w:jc w:val="center"/>
        <w:rPr>
          <w:rFonts w:ascii="Tahoma" w:eastAsia="Times New Roman" w:hAnsi="Tahoma" w:cs="Tahoma"/>
          <w:sz w:val="20"/>
          <w:szCs w:val="20"/>
          <w:lang w:eastAsia="ru-RU"/>
        </w:rPr>
      </w:pPr>
    </w:p>
    <w:p w:rsidR="00612CC0" w:rsidRPr="00871EDA" w:rsidRDefault="00612CC0" w:rsidP="00612CC0">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360" w:lineRule="auto"/>
        <w:jc w:val="both"/>
        <w:rPr>
          <w:rFonts w:ascii="Tahoma" w:eastAsia="Times New Roman" w:hAnsi="Tahoma" w:cs="Tahoma"/>
          <w:sz w:val="16"/>
          <w:szCs w:val="16"/>
          <w:lang w:eastAsia="ru-RU"/>
        </w:rPr>
      </w:pPr>
      <w:bookmarkStart w:id="6" w:name="_GoBack"/>
      <w:bookmarkEnd w:id="6"/>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lastRenderedPageBreak/>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8A2C7C">
        <w:rPr>
          <w:rFonts w:ascii="Tahoma" w:hAnsi="Tahoma" w:cs="Tahoma"/>
          <w:b/>
          <w:sz w:val="20"/>
          <w:szCs w:val="20"/>
        </w:rPr>
        <w:t>Северного</w:t>
      </w:r>
      <w:r w:rsidR="00E63EC8" w:rsidRPr="00871EDA">
        <w:rPr>
          <w:rFonts w:ascii="Tahoma" w:hAnsi="Tahoma" w:cs="Tahoma"/>
          <w:b/>
          <w:sz w:val="20"/>
          <w:szCs w:val="20"/>
        </w:rPr>
        <w:t xml:space="preserve"> отделения Свердловского филиала ЭнергосбыТ Плюс</w:t>
      </w:r>
    </w:p>
    <w:tbl>
      <w:tblPr>
        <w:tblStyle w:val="af8"/>
        <w:tblW w:w="0" w:type="auto"/>
        <w:tblLook w:val="04A0" w:firstRow="1" w:lastRow="0" w:firstColumn="1" w:lastColumn="0" w:noHBand="0" w:noVBand="1"/>
      </w:tblPr>
      <w:tblGrid>
        <w:gridCol w:w="1129"/>
        <w:gridCol w:w="13885"/>
      </w:tblGrid>
      <w:tr w:rsidR="00A00C2A" w:rsidTr="00A00C2A">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0C2A" w:rsidRDefault="00A00C2A">
            <w:pPr>
              <w:spacing w:after="0" w:line="240" w:lineRule="auto"/>
              <w:jc w:val="center"/>
              <w:rPr>
                <w:rFonts w:ascii="Tahoma" w:hAnsi="Tahoma" w:cs="Tahoma"/>
                <w:b/>
                <w:sz w:val="20"/>
                <w:szCs w:val="20"/>
              </w:rPr>
            </w:pPr>
            <w:r>
              <w:rPr>
                <w:rFonts w:ascii="Tahoma" w:hAnsi="Tahoma" w:cs="Tahoma"/>
                <w:b/>
                <w:sz w:val="20"/>
                <w:szCs w:val="20"/>
              </w:rPr>
              <w:t>№ п/п</w:t>
            </w:r>
          </w:p>
        </w:tc>
        <w:tc>
          <w:tcPr>
            <w:tcW w:w="138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0C2A" w:rsidRDefault="00A00C2A">
            <w:pPr>
              <w:spacing w:after="0" w:line="240" w:lineRule="auto"/>
              <w:jc w:val="center"/>
              <w:rPr>
                <w:rFonts w:ascii="Tahoma" w:hAnsi="Tahoma" w:cs="Tahoma"/>
                <w:b/>
                <w:sz w:val="20"/>
                <w:szCs w:val="20"/>
              </w:rPr>
            </w:pPr>
            <w:r>
              <w:rPr>
                <w:rFonts w:ascii="Tahoma" w:hAnsi="Tahoma" w:cs="Tahoma"/>
                <w:b/>
                <w:sz w:val="20"/>
                <w:szCs w:val="20"/>
              </w:rPr>
              <w:t>Наименование муниципального образования</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spacing w:after="0" w:line="240" w:lineRule="auto"/>
              <w:rPr>
                <w:rFonts w:ascii="Calibri" w:hAnsi="Calibri" w:cs="Calibri"/>
                <w:color w:val="000000"/>
              </w:rPr>
            </w:pPr>
            <w:r>
              <w:rPr>
                <w:rFonts w:ascii="Calibri" w:hAnsi="Calibri" w:cs="Calibri"/>
                <w:color w:val="000000"/>
              </w:rPr>
              <w:t>Верхнесалдинский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Волчанский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Гаринский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Горноуральский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 Нижний Тагил</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Верх-Нейвинский</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Верхний Тагил</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Верхняя Тура</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Верхотурский</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«Город Лесной»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ЗАТО Свободный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Карпинск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Краснотурьинск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Красноуральск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Нижняя Салда</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Пелым</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городской округ Староуткинск</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Ивдельский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Качканарский городской округ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Кировградский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Кушвинский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Невьянский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Нижнетуринский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Новолялинский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Новоуральский городской округ Свердловской области</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Североуральский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Серовский городской округ</w:t>
            </w:r>
          </w:p>
        </w:tc>
      </w:tr>
      <w:tr w:rsidR="00A00C2A" w:rsidTr="00A00C2A">
        <w:trPr>
          <w:trHeight w:hRule="exact" w:val="284"/>
        </w:trPr>
        <w:tc>
          <w:tcPr>
            <w:tcW w:w="1129" w:type="dxa"/>
            <w:tcBorders>
              <w:top w:val="single" w:sz="4" w:space="0" w:color="auto"/>
              <w:left w:val="single" w:sz="4" w:space="0" w:color="auto"/>
              <w:bottom w:val="single" w:sz="4" w:space="0" w:color="auto"/>
              <w:right w:val="single" w:sz="4" w:space="0" w:color="auto"/>
            </w:tcBorders>
          </w:tcPr>
          <w:p w:rsidR="00A00C2A" w:rsidRDefault="00A00C2A" w:rsidP="00A00C2A">
            <w:pPr>
              <w:pStyle w:val="a6"/>
              <w:numPr>
                <w:ilvl w:val="0"/>
                <w:numId w:val="50"/>
              </w:numPr>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hideMark/>
          </w:tcPr>
          <w:p w:rsidR="00A00C2A" w:rsidRDefault="00A00C2A">
            <w:pPr>
              <w:rPr>
                <w:rFonts w:ascii="Calibri" w:hAnsi="Calibri" w:cs="Calibri"/>
                <w:color w:val="000000"/>
              </w:rPr>
            </w:pPr>
            <w:r>
              <w:rPr>
                <w:rFonts w:ascii="Calibri" w:hAnsi="Calibri" w:cs="Calibri"/>
                <w:color w:val="000000"/>
              </w:rPr>
              <w:t>Сосьвинский городской округ</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C11D66">
      <w:pPr>
        <w:numPr>
          <w:ilvl w:val="0"/>
          <w:numId w:val="48"/>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C11D66">
      <w:pPr>
        <w:numPr>
          <w:ilvl w:val="1"/>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3871E1">
      <w:pPr>
        <w:numPr>
          <w:ilvl w:val="0"/>
          <w:numId w:val="45"/>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550" w:rsidRDefault="00743550" w:rsidP="00974DAE">
      <w:pPr>
        <w:spacing w:after="0" w:line="240" w:lineRule="auto"/>
      </w:pPr>
      <w:r>
        <w:separator/>
      </w:r>
    </w:p>
  </w:endnote>
  <w:endnote w:type="continuationSeparator" w:id="0">
    <w:p w:rsidR="00743550" w:rsidRDefault="0074355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550" w:rsidRDefault="00743550" w:rsidP="00974DAE">
      <w:pPr>
        <w:spacing w:after="0" w:line="240" w:lineRule="auto"/>
      </w:pPr>
      <w:r>
        <w:separator/>
      </w:r>
    </w:p>
  </w:footnote>
  <w:footnote w:type="continuationSeparator" w:id="0">
    <w:p w:rsidR="00743550" w:rsidRDefault="00743550"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7"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0"/>
  </w:num>
  <w:num w:numId="8">
    <w:abstractNumId w:val="15"/>
  </w:num>
  <w:num w:numId="9">
    <w:abstractNumId w:val="20"/>
  </w:num>
  <w:num w:numId="10">
    <w:abstractNumId w:val="44"/>
  </w:num>
  <w:num w:numId="11">
    <w:abstractNumId w:val="32"/>
  </w:num>
  <w:num w:numId="12">
    <w:abstractNumId w:val="0"/>
  </w:num>
  <w:num w:numId="13">
    <w:abstractNumId w:val="28"/>
  </w:num>
  <w:num w:numId="14">
    <w:abstractNumId w:val="48"/>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4"/>
  </w:num>
  <w:num w:numId="23">
    <w:abstractNumId w:val="11"/>
  </w:num>
  <w:num w:numId="24">
    <w:abstractNumId w:val="25"/>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21"/>
  </w:num>
  <w:num w:numId="32">
    <w:abstractNumId w:val="13"/>
  </w:num>
  <w:num w:numId="33">
    <w:abstractNumId w:val="19"/>
  </w:num>
  <w:num w:numId="34">
    <w:abstractNumId w:val="18"/>
  </w:num>
  <w:num w:numId="35">
    <w:abstractNumId w:val="37"/>
  </w:num>
  <w:num w:numId="36">
    <w:abstractNumId w:val="45"/>
  </w:num>
  <w:num w:numId="37">
    <w:abstractNumId w:val="41"/>
  </w:num>
  <w:num w:numId="38">
    <w:abstractNumId w:val="1"/>
  </w:num>
  <w:num w:numId="39">
    <w:abstractNumId w:val="31"/>
  </w:num>
  <w:num w:numId="40">
    <w:abstractNumId w:val="4"/>
  </w:num>
  <w:num w:numId="41">
    <w:abstractNumId w:val="17"/>
  </w:num>
  <w:num w:numId="42">
    <w:abstractNumId w:val="30"/>
  </w:num>
  <w:num w:numId="43">
    <w:abstractNumId w:val="16"/>
  </w:num>
  <w:num w:numId="44">
    <w:abstractNumId w:val="23"/>
  </w:num>
  <w:num w:numId="45">
    <w:abstractNumId w:val="33"/>
  </w:num>
  <w:num w:numId="46">
    <w:abstractNumId w:val="38"/>
  </w:num>
  <w:num w:numId="47">
    <w:abstractNumId w:val="46"/>
  </w:num>
  <w:num w:numId="48">
    <w:abstractNumId w:val="7"/>
  </w:num>
  <w:num w:numId="49">
    <w:abstractNumId w:val="47"/>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35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83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5BB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2CC0"/>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550"/>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D7B29"/>
    <w:rsid w:val="007E1735"/>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082"/>
    <w:rsid w:val="0088790F"/>
    <w:rsid w:val="0089040A"/>
    <w:rsid w:val="00890E47"/>
    <w:rsid w:val="00891135"/>
    <w:rsid w:val="00891A9C"/>
    <w:rsid w:val="00892FCC"/>
    <w:rsid w:val="008934DA"/>
    <w:rsid w:val="0089526C"/>
    <w:rsid w:val="008958FF"/>
    <w:rsid w:val="00897FC8"/>
    <w:rsid w:val="008A0511"/>
    <w:rsid w:val="008A06C1"/>
    <w:rsid w:val="008A083B"/>
    <w:rsid w:val="008A2C7C"/>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555C"/>
    <w:rsid w:val="00956582"/>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C2A"/>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64D"/>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4B56"/>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3578"/>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5D25"/>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763"/>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B7E"/>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27B8"/>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3822"/>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AB8"/>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26F2"/>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2D82"/>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4F1C3"/>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7500898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1FCF2-B709-44AB-8B7B-5E4A1523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47</Pages>
  <Words>19856</Words>
  <Characters>113185</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Малькова Юлия Николаевна</cp:lastModifiedBy>
  <cp:revision>14</cp:revision>
  <cp:lastPrinted>2021-08-10T07:13:00Z</cp:lastPrinted>
  <dcterms:created xsi:type="dcterms:W3CDTF">2023-04-11T03:16:00Z</dcterms:created>
  <dcterms:modified xsi:type="dcterms:W3CDTF">2023-04-19T11:11:00Z</dcterms:modified>
</cp:coreProperties>
</file>